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C15C9" w:rsidRDefault="00EC15C9">
      <w:pPr>
        <w:jc w:val="center"/>
        <w:rPr>
          <w:sz w:val="20"/>
        </w:rPr>
      </w:pPr>
    </w:p>
    <w:p w:rsidR="00EC15C9" w:rsidRDefault="00EC15C9">
      <w:pPr>
        <w:jc w:val="center"/>
      </w:pPr>
    </w:p>
    <w:p w:rsidR="00EC15C9" w:rsidRDefault="00EC15C9">
      <w:pPr>
        <w:jc w:val="center"/>
        <w:rPr>
          <w:rFonts w:ascii="Arial" w:hAnsi="Arial" w:cs="Arial"/>
          <w:b/>
          <w:bCs/>
          <w:sz w:val="22"/>
        </w:rPr>
      </w:pPr>
      <w:r>
        <w:rPr>
          <w:rFonts w:ascii="Arial" w:hAnsi="Arial" w:cs="Arial"/>
          <w:b/>
          <w:bCs/>
          <w:sz w:val="22"/>
        </w:rPr>
        <w:t>Krajská stavební společnost při Svazu podnikatelů ve stavebnictví</w:t>
      </w:r>
    </w:p>
    <w:p w:rsidR="00EC15C9" w:rsidRDefault="00EC15C9">
      <w:pPr>
        <w:pStyle w:val="Nadpis4"/>
      </w:pPr>
      <w:r>
        <w:t>Česká komora autorizovaných inženýrů a techniků činných ve výstavbě</w:t>
      </w:r>
    </w:p>
    <w:p w:rsidR="00EC15C9" w:rsidRDefault="00EC15C9">
      <w:pPr>
        <w:pStyle w:val="Nadpis3"/>
        <w:rPr>
          <w:rFonts w:ascii="Arial" w:hAnsi="Arial" w:cs="Arial"/>
          <w:sz w:val="22"/>
        </w:rPr>
      </w:pPr>
      <w:r>
        <w:rPr>
          <w:rFonts w:ascii="Arial" w:hAnsi="Arial" w:cs="Arial"/>
          <w:sz w:val="22"/>
        </w:rPr>
        <w:t>Česká komora architektů</w:t>
      </w:r>
    </w:p>
    <w:p w:rsidR="00EC15C9" w:rsidRDefault="00EC15C9">
      <w:pPr>
        <w:jc w:val="center"/>
        <w:rPr>
          <w:rFonts w:ascii="Arial" w:hAnsi="Arial" w:cs="Arial"/>
          <w:sz w:val="22"/>
        </w:rPr>
      </w:pPr>
    </w:p>
    <w:p w:rsidR="00EC15C9" w:rsidRDefault="00EC15C9">
      <w:pPr>
        <w:jc w:val="center"/>
        <w:rPr>
          <w:rFonts w:ascii="Arial" w:hAnsi="Arial" w:cs="Arial"/>
          <w:sz w:val="22"/>
        </w:rPr>
      </w:pPr>
      <w:r>
        <w:rPr>
          <w:rFonts w:ascii="Arial" w:hAnsi="Arial" w:cs="Arial"/>
          <w:sz w:val="22"/>
        </w:rPr>
        <w:t>vyhlašují soutěž</w:t>
      </w:r>
    </w:p>
    <w:p w:rsidR="00EC15C9" w:rsidRDefault="00EC15C9">
      <w:pPr>
        <w:jc w:val="center"/>
        <w:rPr>
          <w:rFonts w:ascii="Arial" w:hAnsi="Arial" w:cs="Arial"/>
          <w:sz w:val="22"/>
        </w:rPr>
      </w:pPr>
    </w:p>
    <w:p w:rsidR="00EC15C9" w:rsidRDefault="00EC15C9">
      <w:pPr>
        <w:pStyle w:val="Nadpis3"/>
        <w:rPr>
          <w:rFonts w:ascii="Arial" w:hAnsi="Arial" w:cs="Arial"/>
          <w:sz w:val="22"/>
        </w:rPr>
      </w:pPr>
      <w:r>
        <w:rPr>
          <w:rFonts w:ascii="Arial" w:hAnsi="Arial" w:cs="Arial"/>
          <w:sz w:val="22"/>
        </w:rPr>
        <w:t>STUDENTSKÁ PRÁCE ROKU 2012 ZLÍNSKÉHO KRAJE</w:t>
      </w:r>
    </w:p>
    <w:p w:rsidR="00EC15C9" w:rsidRDefault="00EC15C9">
      <w:pPr>
        <w:jc w:val="center"/>
        <w:rPr>
          <w:rFonts w:ascii="Arial" w:hAnsi="Arial" w:cs="Arial"/>
          <w:sz w:val="22"/>
        </w:rPr>
      </w:pPr>
    </w:p>
    <w:p w:rsidR="00EC15C9" w:rsidRDefault="00EC15C9">
      <w:pPr>
        <w:jc w:val="center"/>
        <w:rPr>
          <w:rFonts w:ascii="Arial" w:hAnsi="Arial" w:cs="Arial"/>
          <w:sz w:val="22"/>
        </w:rPr>
      </w:pPr>
      <w:r>
        <w:rPr>
          <w:rFonts w:ascii="Arial" w:hAnsi="Arial" w:cs="Arial"/>
          <w:sz w:val="22"/>
        </w:rPr>
        <w:t>Soutěž je vyhlášena pod záštitou hejtmana Zlínského kraje</w:t>
      </w:r>
    </w:p>
    <w:p w:rsidR="00EC15C9" w:rsidRDefault="00EC15C9">
      <w:pPr>
        <w:jc w:val="center"/>
        <w:rPr>
          <w:rFonts w:ascii="Arial" w:hAnsi="Arial" w:cs="Arial"/>
          <w:sz w:val="22"/>
        </w:rPr>
      </w:pPr>
    </w:p>
    <w:p w:rsidR="00EC15C9" w:rsidRDefault="00EC15C9">
      <w:pPr>
        <w:rPr>
          <w:rFonts w:ascii="Arial" w:hAnsi="Arial" w:cs="Arial"/>
          <w:b/>
          <w:bCs/>
          <w:sz w:val="22"/>
        </w:rPr>
      </w:pPr>
      <w:r>
        <w:rPr>
          <w:rFonts w:ascii="Arial" w:hAnsi="Arial" w:cs="Arial"/>
          <w:b/>
          <w:bCs/>
          <w:sz w:val="22"/>
        </w:rPr>
        <w:t>Poslání soutěže:</w:t>
      </w:r>
    </w:p>
    <w:p w:rsidR="00EC15C9" w:rsidRDefault="00EC15C9">
      <w:pPr>
        <w:jc w:val="both"/>
        <w:rPr>
          <w:rFonts w:ascii="Arial" w:hAnsi="Arial" w:cs="Arial"/>
          <w:sz w:val="22"/>
        </w:rPr>
      </w:pPr>
      <w:r>
        <w:rPr>
          <w:rFonts w:ascii="Arial" w:hAnsi="Arial" w:cs="Arial"/>
          <w:sz w:val="22"/>
        </w:rPr>
        <w:t>Hlavním cílem soutěže je zapojit studenty středních průmyslových škol oboru stavebního do řešení konkrétních úkolů v rámci Zlínského kraje a seznámení odborné a laické veřejnosti s pracemi studentů. Zadání pro studenty středních průmyslových škol stavebních Zlínského kraje je uvedeno v příloze.</w:t>
      </w:r>
    </w:p>
    <w:p w:rsidR="00EC15C9" w:rsidRDefault="00EC15C9">
      <w:pPr>
        <w:rPr>
          <w:rFonts w:ascii="Arial" w:hAnsi="Arial" w:cs="Arial"/>
          <w:sz w:val="22"/>
        </w:rPr>
      </w:pPr>
    </w:p>
    <w:p w:rsidR="00EC15C9" w:rsidRDefault="00EC15C9">
      <w:pPr>
        <w:rPr>
          <w:rFonts w:ascii="Arial" w:hAnsi="Arial" w:cs="Arial"/>
          <w:b/>
          <w:bCs/>
          <w:sz w:val="22"/>
        </w:rPr>
      </w:pPr>
      <w:r>
        <w:rPr>
          <w:rFonts w:ascii="Arial" w:hAnsi="Arial" w:cs="Arial"/>
          <w:b/>
          <w:bCs/>
          <w:sz w:val="22"/>
        </w:rPr>
        <w:t>Kritéria hodnocení – porota:</w:t>
      </w:r>
    </w:p>
    <w:p w:rsidR="00EC15C9" w:rsidRDefault="00EC15C9">
      <w:pPr>
        <w:rPr>
          <w:rFonts w:ascii="Arial" w:hAnsi="Arial" w:cs="Arial"/>
          <w:sz w:val="22"/>
        </w:rPr>
      </w:pPr>
      <w:r>
        <w:rPr>
          <w:rFonts w:ascii="Arial" w:hAnsi="Arial" w:cs="Arial"/>
          <w:sz w:val="22"/>
        </w:rPr>
        <w:t>Studentské práce přihlášené do soutěže posuzuje odborná porota , která je složena se zástupců jednotlivých vyhlašovatelů.</w:t>
      </w:r>
    </w:p>
    <w:p w:rsidR="00EC15C9" w:rsidRDefault="00EC15C9">
      <w:pPr>
        <w:rPr>
          <w:rFonts w:ascii="Arial" w:hAnsi="Arial" w:cs="Arial"/>
          <w:sz w:val="22"/>
        </w:rPr>
      </w:pPr>
      <w:r>
        <w:rPr>
          <w:rFonts w:ascii="Arial" w:hAnsi="Arial" w:cs="Arial"/>
          <w:sz w:val="22"/>
        </w:rPr>
        <w:t>Studentské práce budou hodnoceny podle těchto kritérií:</w:t>
      </w:r>
    </w:p>
    <w:p w:rsidR="00EC15C9" w:rsidRDefault="00EC15C9">
      <w:pPr>
        <w:numPr>
          <w:ilvl w:val="0"/>
          <w:numId w:val="3"/>
        </w:numPr>
        <w:rPr>
          <w:rFonts w:ascii="Arial" w:hAnsi="Arial" w:cs="Arial"/>
          <w:sz w:val="22"/>
        </w:rPr>
      </w:pPr>
      <w:r>
        <w:rPr>
          <w:rFonts w:ascii="Arial" w:hAnsi="Arial" w:cs="Arial"/>
          <w:sz w:val="22"/>
        </w:rPr>
        <w:t>splnění zadávacích podmínek soutěže</w:t>
      </w:r>
    </w:p>
    <w:p w:rsidR="00EC15C9" w:rsidRDefault="00EC15C9">
      <w:pPr>
        <w:numPr>
          <w:ilvl w:val="0"/>
          <w:numId w:val="3"/>
        </w:numPr>
        <w:rPr>
          <w:rFonts w:ascii="Arial" w:hAnsi="Arial" w:cs="Arial"/>
          <w:sz w:val="22"/>
        </w:rPr>
      </w:pPr>
      <w:r>
        <w:rPr>
          <w:rFonts w:ascii="Arial" w:hAnsi="Arial" w:cs="Arial"/>
          <w:sz w:val="22"/>
        </w:rPr>
        <w:t>celkové architektonicko-stavební  řešení projektu</w:t>
      </w:r>
    </w:p>
    <w:p w:rsidR="00EC15C9" w:rsidRDefault="00EC15C9">
      <w:pPr>
        <w:numPr>
          <w:ilvl w:val="0"/>
          <w:numId w:val="3"/>
        </w:numPr>
        <w:rPr>
          <w:rFonts w:ascii="Arial" w:hAnsi="Arial" w:cs="Arial"/>
          <w:sz w:val="22"/>
        </w:rPr>
      </w:pPr>
      <w:r>
        <w:rPr>
          <w:rFonts w:ascii="Arial" w:hAnsi="Arial" w:cs="Arial"/>
          <w:sz w:val="22"/>
        </w:rPr>
        <w:t>technická úroveň projektu</w:t>
      </w:r>
    </w:p>
    <w:p w:rsidR="00EC15C9" w:rsidRDefault="00EC15C9">
      <w:pPr>
        <w:numPr>
          <w:ilvl w:val="0"/>
          <w:numId w:val="3"/>
        </w:numPr>
        <w:rPr>
          <w:rFonts w:ascii="Arial" w:hAnsi="Arial" w:cs="Arial"/>
          <w:sz w:val="22"/>
        </w:rPr>
      </w:pPr>
      <w:r>
        <w:rPr>
          <w:rFonts w:ascii="Arial" w:hAnsi="Arial" w:cs="Arial"/>
          <w:sz w:val="22"/>
        </w:rPr>
        <w:t>kvalita grafického zpracování a prezentace před porotou</w:t>
      </w:r>
    </w:p>
    <w:p w:rsidR="00EC15C9" w:rsidRDefault="00EC15C9">
      <w:pPr>
        <w:rPr>
          <w:rFonts w:ascii="Arial" w:hAnsi="Arial" w:cs="Arial"/>
          <w:sz w:val="22"/>
        </w:rPr>
      </w:pPr>
    </w:p>
    <w:p w:rsidR="00EC15C9" w:rsidRDefault="00EC15C9">
      <w:pPr>
        <w:rPr>
          <w:rFonts w:ascii="Arial" w:hAnsi="Arial" w:cs="Arial"/>
          <w:b/>
          <w:bCs/>
          <w:sz w:val="22"/>
        </w:rPr>
      </w:pPr>
      <w:r>
        <w:rPr>
          <w:rFonts w:ascii="Arial" w:hAnsi="Arial" w:cs="Arial"/>
          <w:b/>
          <w:bCs/>
          <w:sz w:val="22"/>
        </w:rPr>
        <w:t>Výsledky soutěže, ceny a ocenění:</w:t>
      </w:r>
    </w:p>
    <w:p w:rsidR="00EC15C9" w:rsidRDefault="00EC15C9">
      <w:pPr>
        <w:rPr>
          <w:rFonts w:ascii="Arial" w:hAnsi="Arial" w:cs="Arial"/>
          <w:sz w:val="22"/>
        </w:rPr>
      </w:pPr>
      <w:r>
        <w:rPr>
          <w:rFonts w:ascii="Arial" w:hAnsi="Arial" w:cs="Arial"/>
          <w:sz w:val="22"/>
        </w:rPr>
        <w:t>Soutěž je vyhlášena pro studenty jednotlivých škol bez rozlišení kategorií.</w:t>
      </w:r>
    </w:p>
    <w:p w:rsidR="00EC15C9" w:rsidRDefault="00EC15C9">
      <w:pPr>
        <w:rPr>
          <w:rFonts w:ascii="Arial" w:hAnsi="Arial" w:cs="Arial"/>
          <w:sz w:val="22"/>
        </w:rPr>
      </w:pPr>
      <w:r>
        <w:rPr>
          <w:rFonts w:ascii="Arial" w:hAnsi="Arial" w:cs="Arial"/>
          <w:sz w:val="22"/>
        </w:rPr>
        <w:t>Oceněno bude 1.,2. a 3. místo dle vyhodnocení odborné poroty.</w:t>
      </w:r>
    </w:p>
    <w:p w:rsidR="00EC15C9" w:rsidRDefault="00EC15C9">
      <w:pPr>
        <w:rPr>
          <w:rFonts w:ascii="Arial" w:hAnsi="Arial" w:cs="Arial"/>
          <w:sz w:val="22"/>
        </w:rPr>
      </w:pPr>
      <w:r>
        <w:rPr>
          <w:rFonts w:ascii="Arial" w:hAnsi="Arial" w:cs="Arial"/>
          <w:sz w:val="22"/>
        </w:rPr>
        <w:t xml:space="preserve">Vítězové obdrží peněžní odměny, jejich výše bude upřesněna. </w:t>
      </w:r>
    </w:p>
    <w:p w:rsidR="00EC15C9" w:rsidRDefault="00EC15C9">
      <w:pPr>
        <w:rPr>
          <w:rFonts w:ascii="Arial" w:hAnsi="Arial" w:cs="Arial"/>
          <w:b/>
          <w:bCs/>
          <w:sz w:val="22"/>
        </w:rPr>
      </w:pPr>
    </w:p>
    <w:p w:rsidR="00EC15C9" w:rsidRDefault="00EC15C9">
      <w:pPr>
        <w:rPr>
          <w:rFonts w:ascii="Arial" w:hAnsi="Arial" w:cs="Arial"/>
          <w:sz w:val="22"/>
        </w:rPr>
      </w:pPr>
      <w:r>
        <w:rPr>
          <w:rFonts w:ascii="Arial" w:hAnsi="Arial" w:cs="Arial"/>
          <w:b/>
          <w:bCs/>
          <w:sz w:val="22"/>
        </w:rPr>
        <w:t>Vyhlášení a ocenění nejlepších:</w:t>
      </w:r>
      <w:r>
        <w:rPr>
          <w:rFonts w:ascii="Arial" w:hAnsi="Arial" w:cs="Arial"/>
          <w:sz w:val="22"/>
        </w:rPr>
        <w:t xml:space="preserve">  </w:t>
      </w:r>
    </w:p>
    <w:p w:rsidR="00EC15C9" w:rsidRDefault="00EC15C9">
      <w:pPr>
        <w:jc w:val="both"/>
        <w:rPr>
          <w:rFonts w:ascii="Arial" w:hAnsi="Arial" w:cs="Arial"/>
          <w:sz w:val="22"/>
        </w:rPr>
      </w:pPr>
      <w:r>
        <w:rPr>
          <w:rFonts w:ascii="Arial" w:hAnsi="Arial" w:cs="Arial"/>
          <w:sz w:val="22"/>
        </w:rPr>
        <w:t>Udělení ocenění je spojeno s právem využívat tohoto ohodnocení pro reklamní a referenční účely. Vyhlášení soutěže bude provedeno slavnostním způsobem za účasti hejtmana a členů rady Zlínského kraje, odborné poroty, zástupců vyhlašovatele, zástupců studentů, kteří se na projektu podíleli, odborné veřejnosti , přizvaných hostů z řad politické, společenské a kulturní sféry, médií a sponzorů. Výsledky soutěže budou zveřejněny v odborném a regionálním tisku.</w:t>
      </w:r>
    </w:p>
    <w:p w:rsidR="00EC15C9" w:rsidRDefault="00EC15C9">
      <w:pPr>
        <w:rPr>
          <w:rFonts w:ascii="Arial" w:hAnsi="Arial" w:cs="Arial"/>
          <w:sz w:val="22"/>
        </w:rPr>
      </w:pPr>
    </w:p>
    <w:p w:rsidR="00EC15C9" w:rsidRDefault="00EC15C9">
      <w:pPr>
        <w:rPr>
          <w:rFonts w:ascii="Arial" w:hAnsi="Arial" w:cs="Arial"/>
          <w:b/>
          <w:bCs/>
          <w:sz w:val="22"/>
        </w:rPr>
      </w:pPr>
      <w:r>
        <w:rPr>
          <w:rFonts w:ascii="Arial" w:hAnsi="Arial" w:cs="Arial"/>
          <w:b/>
          <w:bCs/>
          <w:sz w:val="22"/>
        </w:rPr>
        <w:t>Přihláška do soutěže:</w:t>
      </w:r>
    </w:p>
    <w:p w:rsidR="00EC15C9" w:rsidRDefault="00EC15C9">
      <w:pPr>
        <w:rPr>
          <w:rFonts w:ascii="Arial" w:hAnsi="Arial" w:cs="Arial"/>
          <w:sz w:val="22"/>
        </w:rPr>
      </w:pPr>
      <w:r>
        <w:rPr>
          <w:rFonts w:ascii="Arial" w:hAnsi="Arial" w:cs="Arial"/>
          <w:sz w:val="22"/>
        </w:rPr>
        <w:t>Škola se přihlásí na adresu:</w:t>
      </w:r>
    </w:p>
    <w:p w:rsidR="00EC15C9" w:rsidRDefault="00EC15C9">
      <w:pPr>
        <w:rPr>
          <w:rFonts w:ascii="Arial" w:hAnsi="Arial" w:cs="Arial"/>
          <w:sz w:val="22"/>
        </w:rPr>
      </w:pPr>
      <w:r>
        <w:rPr>
          <w:rFonts w:ascii="Arial" w:hAnsi="Arial" w:cs="Arial"/>
          <w:sz w:val="22"/>
        </w:rPr>
        <w:t>SPS ČR,ing. Pavel Bělohlávek CSc, oblastní pracoviště, náměstí T.G.Masaryka 1281, 760 01 Zlín, telefon 577 221 402, mobil: 607873902, v termínu do 12.11.2012</w:t>
      </w:r>
    </w:p>
    <w:p w:rsidR="00EC15C9" w:rsidRDefault="00EC15C9">
      <w:pPr>
        <w:rPr>
          <w:rFonts w:ascii="Arial" w:hAnsi="Arial" w:cs="Arial"/>
          <w:sz w:val="22"/>
        </w:rPr>
      </w:pPr>
    </w:p>
    <w:p w:rsidR="00EC15C9" w:rsidRDefault="00EC15C9">
      <w:pPr>
        <w:rPr>
          <w:rFonts w:ascii="Arial" w:hAnsi="Arial" w:cs="Arial"/>
          <w:b/>
          <w:bCs/>
          <w:sz w:val="22"/>
        </w:rPr>
      </w:pPr>
      <w:r>
        <w:rPr>
          <w:rFonts w:ascii="Arial" w:hAnsi="Arial" w:cs="Arial"/>
          <w:b/>
          <w:bCs/>
          <w:sz w:val="22"/>
        </w:rPr>
        <w:t>Odevzdání prací:</w:t>
      </w:r>
    </w:p>
    <w:p w:rsidR="00EC15C9" w:rsidRDefault="00EC15C9">
      <w:pPr>
        <w:rPr>
          <w:rFonts w:ascii="Arial" w:hAnsi="Arial" w:cs="Arial"/>
          <w:sz w:val="22"/>
        </w:rPr>
      </w:pPr>
      <w:r>
        <w:rPr>
          <w:rFonts w:ascii="Arial" w:hAnsi="Arial" w:cs="Arial"/>
          <w:sz w:val="22"/>
        </w:rPr>
        <w:t xml:space="preserve">Nejpozději </w:t>
      </w:r>
      <w:r>
        <w:rPr>
          <w:rFonts w:ascii="Arial" w:hAnsi="Arial" w:cs="Arial"/>
          <w:b/>
          <w:bCs/>
          <w:sz w:val="22"/>
        </w:rPr>
        <w:t>15.března 2013</w:t>
      </w:r>
      <w:r>
        <w:rPr>
          <w:rFonts w:ascii="Arial" w:hAnsi="Arial" w:cs="Arial"/>
          <w:sz w:val="22"/>
        </w:rPr>
        <w:t xml:space="preserve"> na výše uvedenou adresu.</w:t>
      </w:r>
    </w:p>
    <w:p w:rsidR="00EC15C9" w:rsidRDefault="00EC15C9">
      <w:pPr>
        <w:rPr>
          <w:rFonts w:ascii="Arial" w:hAnsi="Arial" w:cs="Arial"/>
          <w:sz w:val="22"/>
        </w:rPr>
      </w:pPr>
    </w:p>
    <w:p w:rsidR="00EC15C9" w:rsidRDefault="00EC15C9">
      <w:pPr>
        <w:rPr>
          <w:rFonts w:ascii="Arial" w:hAnsi="Arial" w:cs="Arial"/>
          <w:sz w:val="22"/>
        </w:rPr>
      </w:pPr>
      <w:r>
        <w:rPr>
          <w:rFonts w:ascii="Arial" w:hAnsi="Arial" w:cs="Arial"/>
          <w:sz w:val="22"/>
        </w:rPr>
        <w:t>Příloha č.1 : Zadání soutěže pro studenty středních průmyslových škol stavebních Zlínského kraje</w:t>
      </w:r>
    </w:p>
    <w:p w:rsidR="00EC15C9" w:rsidRDefault="00EC15C9">
      <w:pPr>
        <w:jc w:val="center"/>
        <w:rPr>
          <w:sz w:val="20"/>
        </w:rPr>
      </w:pPr>
    </w:p>
    <w:p w:rsidR="00EC15C9" w:rsidRDefault="00EC15C9">
      <w:pPr>
        <w:pStyle w:val="Nadpis3"/>
        <w:rPr>
          <w:rFonts w:ascii="Arial" w:hAnsi="Arial" w:cs="Arial"/>
          <w:sz w:val="22"/>
        </w:rPr>
      </w:pPr>
    </w:p>
    <w:p w:rsidR="00EC15C9" w:rsidRDefault="00EC15C9">
      <w:pPr>
        <w:pStyle w:val="Nadpis3"/>
        <w:rPr>
          <w:rFonts w:ascii="Arial" w:hAnsi="Arial" w:cs="Arial"/>
          <w:sz w:val="22"/>
        </w:rPr>
      </w:pPr>
      <w:r>
        <w:rPr>
          <w:rFonts w:ascii="Arial" w:hAnsi="Arial" w:cs="Arial"/>
          <w:sz w:val="22"/>
        </w:rPr>
        <w:br w:type="page"/>
      </w:r>
      <w:r>
        <w:rPr>
          <w:rFonts w:ascii="Arial" w:hAnsi="Arial" w:cs="Arial"/>
          <w:sz w:val="22"/>
        </w:rPr>
        <w:lastRenderedPageBreak/>
        <w:t>STUDENTSKÁ PRÁCE ROKU 2012 ZLÍNSKÉHO KRAJE</w:t>
      </w:r>
    </w:p>
    <w:p w:rsidR="00EC15C9" w:rsidRDefault="00EC15C9">
      <w:pPr>
        <w:pStyle w:val="Nadpis1"/>
        <w:jc w:val="center"/>
        <w:rPr>
          <w:rFonts w:ascii="Arial" w:hAnsi="Arial" w:cs="Arial"/>
          <w:sz w:val="22"/>
        </w:rPr>
      </w:pPr>
      <w:r>
        <w:rPr>
          <w:rFonts w:ascii="Arial" w:hAnsi="Arial" w:cs="Arial"/>
          <w:sz w:val="22"/>
        </w:rPr>
        <w:t>Příloha č.1</w:t>
      </w:r>
    </w:p>
    <w:p w:rsidR="00EC15C9" w:rsidRDefault="00EC15C9">
      <w:pPr>
        <w:pStyle w:val="Nadpis1"/>
        <w:jc w:val="center"/>
        <w:rPr>
          <w:rFonts w:ascii="Arial" w:hAnsi="Arial" w:cs="Arial"/>
          <w:sz w:val="22"/>
        </w:rPr>
      </w:pPr>
      <w:r>
        <w:rPr>
          <w:rFonts w:ascii="Arial" w:hAnsi="Arial" w:cs="Arial"/>
          <w:sz w:val="22"/>
        </w:rPr>
        <w:t>Zadání pro studenty středních průmyslových škol stavebních Zlínského kraje</w:t>
      </w:r>
    </w:p>
    <w:p w:rsidR="00EC15C9" w:rsidRDefault="00EC15C9">
      <w:pPr>
        <w:widowControl w:val="0"/>
        <w:autoSpaceDE w:val="0"/>
        <w:autoSpaceDN w:val="0"/>
        <w:adjustRightInd w:val="0"/>
        <w:rPr>
          <w:rFonts w:ascii="Arial" w:hAnsi="Arial" w:cs="Arial"/>
          <w:sz w:val="22"/>
          <w:szCs w:val="20"/>
        </w:rPr>
      </w:pPr>
    </w:p>
    <w:p w:rsidR="00EC15C9" w:rsidRDefault="00EC15C9">
      <w:pPr>
        <w:widowControl w:val="0"/>
        <w:autoSpaceDE w:val="0"/>
        <w:autoSpaceDN w:val="0"/>
        <w:adjustRightInd w:val="0"/>
        <w:rPr>
          <w:rFonts w:ascii="Arial" w:hAnsi="Arial" w:cs="Arial"/>
          <w:sz w:val="22"/>
          <w:szCs w:val="20"/>
        </w:rPr>
      </w:pPr>
    </w:p>
    <w:p w:rsidR="00EC15C9" w:rsidRDefault="00EC15C9">
      <w:pPr>
        <w:widowControl w:val="0"/>
        <w:autoSpaceDE w:val="0"/>
        <w:autoSpaceDN w:val="0"/>
        <w:adjustRightInd w:val="0"/>
        <w:jc w:val="center"/>
        <w:rPr>
          <w:rFonts w:ascii="Arial" w:hAnsi="Arial" w:cs="Arial"/>
          <w:b/>
          <w:bCs/>
          <w:sz w:val="22"/>
          <w:szCs w:val="20"/>
        </w:rPr>
      </w:pPr>
      <w:r>
        <w:rPr>
          <w:rFonts w:ascii="Arial" w:hAnsi="Arial" w:cs="Arial"/>
          <w:b/>
          <w:bCs/>
          <w:sz w:val="22"/>
          <w:szCs w:val="20"/>
        </w:rPr>
        <w:t>NÁZEV SOUTĚŽE:</w:t>
      </w:r>
    </w:p>
    <w:p w:rsidR="00EC15C9" w:rsidRDefault="00EC15C9">
      <w:pPr>
        <w:pBdr>
          <w:bottom w:val="single" w:sz="2" w:space="31" w:color="C68C35"/>
        </w:pBdr>
        <w:shd w:val="clear" w:color="auto" w:fill="FFFFFF"/>
        <w:spacing w:after="240"/>
        <w:jc w:val="center"/>
        <w:outlineLvl w:val="2"/>
        <w:rPr>
          <w:rFonts w:ascii="Arial" w:hAnsi="Arial" w:cs="Arial"/>
        </w:rPr>
      </w:pPr>
      <w:r>
        <w:rPr>
          <w:rFonts w:ascii="Arial" w:hAnsi="Arial" w:cs="Arial"/>
          <w:b/>
          <w:bCs/>
          <w:sz w:val="22"/>
          <w:szCs w:val="20"/>
        </w:rPr>
        <w:t>BYDLENÍ  POD ROZVODNOU,  ZLÍN - PRŠTNÉ</w:t>
      </w:r>
    </w:p>
    <w:p w:rsidR="00EC15C9" w:rsidRDefault="00EC15C9">
      <w:pPr>
        <w:pBdr>
          <w:bottom w:val="single" w:sz="2" w:space="31" w:color="C68C35"/>
        </w:pBdr>
        <w:shd w:val="clear" w:color="auto" w:fill="FFFFFF"/>
        <w:spacing w:after="240"/>
        <w:outlineLvl w:val="2"/>
        <w:rPr>
          <w:rFonts w:ascii="Arial" w:hAnsi="Arial" w:cs="Arial"/>
          <w:sz w:val="22"/>
        </w:rPr>
      </w:pPr>
      <w:r>
        <w:rPr>
          <w:rFonts w:ascii="Arial" w:hAnsi="Arial" w:cs="Arial"/>
          <w:sz w:val="22"/>
        </w:rPr>
        <w:t>Vedoucí oddělení urbanismu a architektů ing.  arch. Dagmar Nová  a Ing. arch. Aleš Ambros - architekt specialista MÚZ vybrali pro zadání studentské soutěže výhledovou zástavbu lokality Pod rozvodnou  ve Zlíně, Prštném. V uvedené lokalitě   ( v jejím východním fragmentu) budou navrženy stavby pro bydlení vily a viladomy:</w:t>
      </w:r>
    </w:p>
    <w:p w:rsidR="00EC15C9" w:rsidRDefault="00EC15C9">
      <w:pPr>
        <w:pBdr>
          <w:bottom w:val="single" w:sz="2" w:space="31" w:color="C68C35"/>
        </w:pBdr>
        <w:shd w:val="clear" w:color="auto" w:fill="FFFFFF"/>
        <w:spacing w:after="240"/>
        <w:outlineLvl w:val="2"/>
        <w:rPr>
          <w:rFonts w:ascii="Arial" w:hAnsi="Arial" w:cs="Arial"/>
          <w:sz w:val="22"/>
          <w:szCs w:val="20"/>
        </w:rPr>
      </w:pPr>
      <w:r>
        <w:rPr>
          <w:rFonts w:ascii="Arial" w:hAnsi="Arial" w:cs="Arial"/>
          <w:sz w:val="22"/>
          <w:szCs w:val="20"/>
        </w:rPr>
        <w:t xml:space="preserve">- </w:t>
      </w:r>
      <w:r>
        <w:rPr>
          <w:rFonts w:ascii="Arial" w:hAnsi="Arial" w:cs="Arial"/>
          <w:b/>
          <w:bCs/>
          <w:sz w:val="22"/>
          <w:szCs w:val="20"/>
        </w:rPr>
        <w:t xml:space="preserve">vila  </w:t>
      </w:r>
      <w:r>
        <w:rPr>
          <w:rFonts w:ascii="Arial" w:hAnsi="Arial" w:cs="Arial"/>
          <w:sz w:val="22"/>
          <w:szCs w:val="20"/>
        </w:rPr>
        <w:t>- 3 -podlažní objekt s plochou střechou (max. 3 bytové jednotky)</w:t>
      </w:r>
      <w:r>
        <w:rPr>
          <w:rFonts w:ascii="Arial" w:hAnsi="Arial" w:cs="Arial"/>
          <w:sz w:val="22"/>
          <w:szCs w:val="20"/>
        </w:rPr>
        <w:br/>
        <w:t xml:space="preserve">- </w:t>
      </w:r>
      <w:r>
        <w:rPr>
          <w:rFonts w:ascii="Arial" w:hAnsi="Arial" w:cs="Arial"/>
          <w:b/>
          <w:bCs/>
          <w:sz w:val="22"/>
          <w:szCs w:val="20"/>
        </w:rPr>
        <w:t>viladům</w:t>
      </w:r>
      <w:r>
        <w:rPr>
          <w:rFonts w:ascii="Arial" w:hAnsi="Arial" w:cs="Arial"/>
          <w:sz w:val="22"/>
          <w:szCs w:val="20"/>
        </w:rPr>
        <w:t xml:space="preserve">  3-podlažní objekt s plochou střechou (rozmezí 4-6 bytových jednotek)</w:t>
      </w:r>
    </w:p>
    <w:p w:rsidR="00EC15C9" w:rsidRDefault="00EC15C9">
      <w:pPr>
        <w:widowControl w:val="0"/>
        <w:tabs>
          <w:tab w:val="left" w:pos="360"/>
        </w:tabs>
        <w:autoSpaceDE w:val="0"/>
        <w:autoSpaceDN w:val="0"/>
        <w:adjustRightInd w:val="0"/>
        <w:spacing w:before="60"/>
        <w:rPr>
          <w:rFonts w:ascii="Verdana" w:hAnsi="Verdana"/>
          <w:sz w:val="18"/>
          <w:szCs w:val="18"/>
        </w:rPr>
      </w:pPr>
      <w:r>
        <w:rPr>
          <w:rFonts w:ascii="Arial" w:hAnsi="Arial" w:cs="Arial"/>
          <w:sz w:val="22"/>
          <w:szCs w:val="20"/>
        </w:rPr>
        <w:t>Popis stávajícího stavu</w:t>
      </w:r>
      <w:r>
        <w:rPr>
          <w:rFonts w:ascii="Arial" w:hAnsi="Arial" w:cs="Arial"/>
          <w:sz w:val="22"/>
          <w:szCs w:val="20"/>
        </w:rPr>
        <w:br/>
      </w:r>
      <w:r>
        <w:rPr>
          <w:rFonts w:ascii="Arial" w:hAnsi="Arial" w:cs="Arial"/>
          <w:sz w:val="22"/>
          <w:szCs w:val="20"/>
        </w:rPr>
        <w:br/>
        <w:t>Zájmová část řešeného území navazuje na zcela novou lokalitu, která se nachází v severovýchodní části katastrálního území Prštné, obec Zlín, v jeho pohledově exponované části zvané „Pod rozvodnou“ a je určena pro zástavbu objektů pro bydlení. Ze západní strany lokalita navazuje na stávající zástavbu rodinných domů s doplňující občanskou vybaveností a současně i vzrostlou zelení, která je umístěna v poměrně dramatickém terénu s velkým výškovým rozdílem. Podobně je tomu i z jižní strany, kdy je patrno mezi niveletou stávající cyklostezky a jižním okrajem nové lokality velké terénní převýšení. Ze severní strany je nová lokalita ohraničena ochranným pásmem vedení el. energie vysokého napětí a východní okraj přímo sousedí s intenzivně využívanou zemědělskou plochou a nedalekým areálem rozvodny elektrické energie. V ploše mírně svažitého terénu se nevyskytují žádné nadzemní stavební objekty kromě nadzemního vedení el. energie vysokého napětí, které bude nahrazeno přeložkou podzemního kabelu mimo rádius řešené části. V současné době je území využíváno jako orná půda.</w:t>
      </w:r>
      <w:r>
        <w:rPr>
          <w:rFonts w:ascii="Arial" w:hAnsi="Arial" w:cs="Arial"/>
          <w:sz w:val="22"/>
          <w:szCs w:val="20"/>
        </w:rPr>
        <w:br/>
      </w:r>
      <w:r>
        <w:rPr>
          <w:rFonts w:ascii="Arial" w:hAnsi="Arial" w:cs="Arial"/>
          <w:sz w:val="22"/>
          <w:szCs w:val="20"/>
        </w:rPr>
        <w:br/>
        <w:t>Urbanistické řešení</w:t>
      </w:r>
      <w:r>
        <w:rPr>
          <w:rFonts w:ascii="Arial" w:hAnsi="Arial" w:cs="Arial"/>
          <w:sz w:val="22"/>
          <w:szCs w:val="20"/>
        </w:rPr>
        <w:br/>
      </w:r>
      <w:r>
        <w:rPr>
          <w:rFonts w:ascii="Arial" w:hAnsi="Arial" w:cs="Arial"/>
          <w:sz w:val="22"/>
          <w:szCs w:val="20"/>
        </w:rPr>
        <w:br/>
        <w:t>S přihlédnutím k orientaci zcela nové lokality a k ní nyní řešené zájmové části ke světovým stranám, poloze vůči navrženým obslužným komunikacím (viz. grafický podklad) a konfiguraci terénu, budou jednotlivé stavby pro bydlení osazeny tak, aby každá měla vytvořena dobré podmínky pro oslunění obytných místností, venkovní pobytové plochy a přirozené výškové osazení do terénu.</w:t>
      </w:r>
      <w:r>
        <w:rPr>
          <w:rFonts w:ascii="Arial" w:hAnsi="Arial" w:cs="Arial"/>
          <w:sz w:val="22"/>
          <w:szCs w:val="20"/>
        </w:rPr>
        <w:br/>
      </w:r>
      <w:r>
        <w:rPr>
          <w:rFonts w:ascii="Verdana" w:hAnsi="Verdana"/>
          <w:sz w:val="18"/>
          <w:szCs w:val="18"/>
        </w:rPr>
        <w:br/>
      </w:r>
      <w:r>
        <w:rPr>
          <w:rFonts w:ascii="Verdana" w:hAnsi="Verdana"/>
          <w:sz w:val="18"/>
          <w:szCs w:val="18"/>
        </w:rPr>
        <w:br/>
      </w:r>
    </w:p>
    <w:p w:rsidR="00EC15C9" w:rsidRDefault="00EC15C9">
      <w:pPr>
        <w:widowControl w:val="0"/>
        <w:autoSpaceDE w:val="0"/>
        <w:autoSpaceDN w:val="0"/>
        <w:adjustRightInd w:val="0"/>
        <w:rPr>
          <w:rFonts w:ascii="Arial" w:hAnsi="Arial" w:cs="Arial"/>
          <w:sz w:val="22"/>
          <w:szCs w:val="20"/>
        </w:rPr>
      </w:pPr>
      <w:r>
        <w:rPr>
          <w:rFonts w:ascii="Arial" w:hAnsi="Arial" w:cs="Arial"/>
          <w:sz w:val="22"/>
          <w:szCs w:val="20"/>
        </w:rPr>
        <w:br/>
        <w:t>Ve fragmentu východní  části lokality budou navrženy stavby  pro bydlení  vily a viladomy:</w:t>
      </w:r>
      <w:r>
        <w:rPr>
          <w:rFonts w:ascii="Arial" w:hAnsi="Arial" w:cs="Arial"/>
          <w:sz w:val="22"/>
          <w:szCs w:val="20"/>
        </w:rPr>
        <w:br/>
        <w:t>- vila bude 3-podlažní s plochou střechou (max. 3 bytové jednotky)</w:t>
      </w:r>
      <w:r>
        <w:rPr>
          <w:rFonts w:ascii="Arial" w:hAnsi="Arial" w:cs="Arial"/>
          <w:sz w:val="22"/>
          <w:szCs w:val="20"/>
        </w:rPr>
        <w:br/>
        <w:t>- viladům bude 3-podlažní s plochou střechou (rozmezí 4-6 bytových jednotek)</w:t>
      </w:r>
      <w:r>
        <w:rPr>
          <w:rFonts w:ascii="Arial" w:hAnsi="Arial" w:cs="Arial"/>
          <w:sz w:val="22"/>
          <w:szCs w:val="20"/>
        </w:rPr>
        <w:br/>
      </w:r>
      <w:r>
        <w:rPr>
          <w:rFonts w:ascii="Arial" w:hAnsi="Arial" w:cs="Arial"/>
          <w:sz w:val="22"/>
          <w:szCs w:val="20"/>
        </w:rPr>
        <w:br/>
        <w:t>Pro návrh urbanistické struktury lze využít navrženého trasování uliční sítě (viz. grafický podklad). Tato může být transformována a nebo navržena zcela nově. U těchto řešení je potřeba minimálně akceptovat dopravní uzel křižovatky, na kterou je zájmové území dopravně napojeno.</w:t>
      </w:r>
      <w:r>
        <w:rPr>
          <w:rFonts w:ascii="Arial" w:hAnsi="Arial" w:cs="Arial"/>
          <w:sz w:val="22"/>
          <w:szCs w:val="20"/>
        </w:rPr>
        <w:br/>
      </w:r>
      <w:r>
        <w:rPr>
          <w:rFonts w:ascii="Arial" w:hAnsi="Arial" w:cs="Arial"/>
          <w:sz w:val="22"/>
          <w:szCs w:val="20"/>
        </w:rPr>
        <w:br/>
        <w:t>Velikost plochy zeleně vůči zastavěné ploše stavby pro bydlení včetně zpevněných ploch bude min. 50% k celkové velikosti pozemku.</w:t>
      </w:r>
      <w:r>
        <w:rPr>
          <w:rFonts w:ascii="Arial" w:hAnsi="Arial" w:cs="Arial"/>
          <w:sz w:val="22"/>
          <w:szCs w:val="20"/>
        </w:rPr>
        <w:br/>
      </w:r>
      <w:r>
        <w:rPr>
          <w:rFonts w:ascii="Arial" w:hAnsi="Arial" w:cs="Arial"/>
          <w:sz w:val="22"/>
          <w:szCs w:val="20"/>
        </w:rPr>
        <w:br/>
        <w:t xml:space="preserve">Všechny stavby pro bydlení umístěné v lokalitě budou mít uliční čáru od hranice veřejného </w:t>
      </w:r>
      <w:r>
        <w:rPr>
          <w:rFonts w:ascii="Arial" w:hAnsi="Arial" w:cs="Arial"/>
          <w:sz w:val="22"/>
          <w:szCs w:val="20"/>
        </w:rPr>
        <w:lastRenderedPageBreak/>
        <w:t>prostoru navrženu tak, aby byla splněna podmínka, že na pozemku, v přímé návaznosti na hlavní hmotu stavby pro bydlení s přímým napojením na obslužnou komunikaci, bude umístěna zpevněná plocha, jejíž dimenze umožní odstavení vozidel mimo veřejné prostranství, ne tedy v hloubce pozemku staveb pro bydlení v úrovni užitných zahrad. Součástí staveb pro bydlení mohou být i garážová stání (parkovací plocha s přístřeškem). Další způsob parkování může být i řešen integrací do navržených objektů formou garáží nebo pologaráží (neuzavřený prostor v půdoryse stavby).</w:t>
      </w:r>
      <w:r>
        <w:rPr>
          <w:rFonts w:ascii="Arial" w:hAnsi="Arial" w:cs="Arial"/>
          <w:sz w:val="22"/>
          <w:szCs w:val="20"/>
        </w:rPr>
        <w:br/>
      </w:r>
      <w:r>
        <w:rPr>
          <w:rFonts w:ascii="Arial" w:hAnsi="Arial" w:cs="Arial"/>
          <w:sz w:val="22"/>
          <w:szCs w:val="20"/>
        </w:rPr>
        <w:br/>
        <w:t>Ve smyslu § 22 vyhlášky č. 501/2006 Sb., ve znění pozdějších předpisů, bude zohledněna nejmenší šířka veřejného prostranství.</w:t>
      </w:r>
      <w:r>
        <w:rPr>
          <w:rFonts w:ascii="Arial" w:hAnsi="Arial" w:cs="Arial"/>
          <w:sz w:val="22"/>
          <w:szCs w:val="20"/>
        </w:rPr>
        <w:br/>
      </w:r>
      <w:r>
        <w:rPr>
          <w:rFonts w:ascii="Arial" w:hAnsi="Arial" w:cs="Arial"/>
          <w:sz w:val="22"/>
          <w:szCs w:val="20"/>
        </w:rPr>
        <w:br/>
        <w:t>Umístění a prostorové uspořádání staveb</w:t>
      </w:r>
      <w:r>
        <w:rPr>
          <w:rFonts w:ascii="Arial" w:hAnsi="Arial" w:cs="Arial"/>
          <w:sz w:val="22"/>
          <w:szCs w:val="20"/>
        </w:rPr>
        <w:br/>
      </w:r>
      <w:r>
        <w:rPr>
          <w:rFonts w:ascii="Arial" w:hAnsi="Arial" w:cs="Arial"/>
          <w:sz w:val="22"/>
          <w:szCs w:val="20"/>
        </w:rPr>
        <w:br/>
        <w:t>Všechny stavby pro bydlení budou umístěny tak, aby došlo k optimalizaci jejich osazení v návaznosti na navrženou uliční síť, veřejné prostranství, konfiguraci terénu, oslunění a lepší využitelnost přilehlých užitných zahrad.</w:t>
      </w:r>
      <w:r>
        <w:rPr>
          <w:rFonts w:ascii="Arial" w:hAnsi="Arial" w:cs="Arial"/>
          <w:sz w:val="22"/>
          <w:szCs w:val="20"/>
        </w:rPr>
        <w:br/>
      </w:r>
      <w:r>
        <w:rPr>
          <w:rFonts w:ascii="Arial" w:hAnsi="Arial" w:cs="Arial"/>
          <w:sz w:val="22"/>
          <w:szCs w:val="20"/>
        </w:rPr>
        <w:br/>
        <w:t>Jednotlivé stavby pro bydlení budou osazeny tak, aby byla zohledněna minimální odstupová vzdálenost od sousedních majetkových hranic pozemků se stavbami pro bydlení a minimální odstupová vzdálenost staveb pro bydlení mezi sebou. Uliční čára bude vztažena k hlavní hmotě staveb pro bydlení. Mezi hranicí veřejného prostoru a stavební čarou se nebudou realizovat žádné nadzemní stavební objekty (např. přístřešky, garáže, sklady apod.).</w:t>
      </w:r>
      <w:r>
        <w:rPr>
          <w:rFonts w:ascii="Arial" w:hAnsi="Arial" w:cs="Arial"/>
          <w:sz w:val="22"/>
          <w:szCs w:val="20"/>
        </w:rPr>
        <w:br/>
      </w:r>
      <w:r>
        <w:rPr>
          <w:rFonts w:ascii="Arial" w:hAnsi="Arial" w:cs="Arial"/>
          <w:sz w:val="22"/>
          <w:szCs w:val="20"/>
        </w:rPr>
        <w:br/>
        <w:t>Stavby pro bydlení mohou být podsklepené. Úroveň ± 0,0 m čisté podlahy prvního nadzemního podlaží bude podle polohové návaznosti objektů pro bydlení na obslužnou komunikaci max. 0,5 m nad nebo pod niveletou čisté výšky obslužné komunikace.</w:t>
      </w:r>
      <w:r>
        <w:rPr>
          <w:rFonts w:ascii="Arial" w:hAnsi="Arial" w:cs="Arial"/>
          <w:sz w:val="22"/>
          <w:szCs w:val="20"/>
        </w:rPr>
        <w:br/>
      </w:r>
      <w:r>
        <w:rPr>
          <w:rFonts w:ascii="Arial" w:hAnsi="Arial" w:cs="Arial"/>
          <w:sz w:val="22"/>
          <w:szCs w:val="20"/>
        </w:rPr>
        <w:br/>
        <w:t>Pokud bude řešeno oplocení pozemků staveb pro bydlení, tak směrem do ulice doporučujeme výšku 1,2 m, bude situováno na hranici veřejného prostoru, nebude zasahovat do rozhledového pole připojení staveb na pozemní komunikaci, může zasahovat do hloubky pozemku po úroveň uliční čáry.</w:t>
      </w:r>
      <w:r>
        <w:rPr>
          <w:rFonts w:ascii="Arial" w:hAnsi="Arial" w:cs="Arial"/>
          <w:sz w:val="22"/>
          <w:szCs w:val="20"/>
        </w:rPr>
        <w:br/>
      </w:r>
      <w:r>
        <w:rPr>
          <w:rFonts w:ascii="Arial" w:hAnsi="Arial" w:cs="Arial"/>
          <w:sz w:val="22"/>
          <w:szCs w:val="20"/>
        </w:rPr>
        <w:br/>
        <w:t>Další oplocení pozemků staveb pro bydlení bude řešeno drátěným pletivem do max. výšky 1,5 m.</w:t>
      </w:r>
      <w:r>
        <w:rPr>
          <w:rFonts w:ascii="Arial" w:hAnsi="Arial" w:cs="Arial"/>
          <w:sz w:val="22"/>
          <w:szCs w:val="20"/>
        </w:rPr>
        <w:br/>
      </w:r>
      <w:r>
        <w:rPr>
          <w:rFonts w:ascii="Arial" w:hAnsi="Arial" w:cs="Arial"/>
          <w:sz w:val="22"/>
          <w:szCs w:val="20"/>
        </w:rPr>
        <w:br/>
        <w:t>Doporučenými odstíny fasád všech novostaveb jsou bílá, světlé valéry teplé šedé a světlého okru.</w:t>
      </w:r>
      <w:r>
        <w:rPr>
          <w:rFonts w:ascii="Arial" w:hAnsi="Arial" w:cs="Arial"/>
          <w:sz w:val="22"/>
          <w:szCs w:val="20"/>
        </w:rPr>
        <w:br/>
      </w:r>
      <w:r>
        <w:rPr>
          <w:rFonts w:ascii="Arial" w:hAnsi="Arial" w:cs="Arial"/>
          <w:sz w:val="22"/>
          <w:szCs w:val="20"/>
        </w:rPr>
        <w:br/>
        <w:t>Výstupy</w:t>
      </w:r>
      <w:r>
        <w:rPr>
          <w:rFonts w:ascii="Arial" w:hAnsi="Arial" w:cs="Arial"/>
          <w:sz w:val="22"/>
          <w:szCs w:val="20"/>
        </w:rPr>
        <w:br/>
      </w:r>
      <w:r>
        <w:rPr>
          <w:rFonts w:ascii="Arial" w:hAnsi="Arial" w:cs="Arial"/>
          <w:sz w:val="22"/>
          <w:szCs w:val="20"/>
        </w:rPr>
        <w:br/>
        <w:t>Práci doporučujeme rozdělit na dvě etapy:</w:t>
      </w:r>
      <w:r>
        <w:rPr>
          <w:rFonts w:ascii="Arial" w:hAnsi="Arial" w:cs="Arial"/>
          <w:sz w:val="22"/>
          <w:szCs w:val="20"/>
        </w:rPr>
        <w:br/>
      </w:r>
      <w:r>
        <w:rPr>
          <w:rFonts w:ascii="Arial" w:hAnsi="Arial" w:cs="Arial"/>
          <w:sz w:val="22"/>
          <w:szCs w:val="20"/>
        </w:rPr>
        <w:br/>
        <w:t>1. etapa: - vytvoření jednoduché urbanistické struktury v návaznosti na již navržený dopravní uzel křižovatky v nové lokalitě (transformovaná nebo zcela nová uliční síť a parcelace, objemové řešení umístění novostaveb, stanovení uliční čáry, napojení pozemků na veřejné prostranství a jednoduché řešení jeho prostoru, umístění uličního oplocení, návrh parkování apod.). Vše v čitelném obhajitelném měřítku dle stanoveného formátu výtisku.</w:t>
      </w:r>
      <w:r>
        <w:rPr>
          <w:rFonts w:ascii="Arial" w:hAnsi="Arial" w:cs="Arial"/>
          <w:sz w:val="22"/>
          <w:szCs w:val="20"/>
        </w:rPr>
        <w:br/>
      </w:r>
      <w:r>
        <w:rPr>
          <w:rFonts w:ascii="Arial" w:hAnsi="Arial" w:cs="Arial"/>
          <w:sz w:val="22"/>
          <w:szCs w:val="20"/>
        </w:rPr>
        <w:br/>
        <w:t>2. etapa: - každý z typů objektu (vla a viladům)  z navržené urbanistické struktury navrhnout a  zpracovat ve formě studie. Vše v čitelném obhajitelném měřítku dle stanoveného formátu výtisku v návaznosti na velikost navrženého objektu.</w:t>
      </w:r>
      <w:r>
        <w:rPr>
          <w:rFonts w:ascii="Arial" w:hAnsi="Arial" w:cs="Arial"/>
          <w:sz w:val="22"/>
          <w:szCs w:val="20"/>
        </w:rPr>
        <w:br/>
      </w:r>
    </w:p>
    <w:p w:rsidR="00EC15C9" w:rsidRDefault="00EC15C9">
      <w:pPr>
        <w:widowControl w:val="0"/>
        <w:autoSpaceDE w:val="0"/>
        <w:autoSpaceDN w:val="0"/>
        <w:adjustRightInd w:val="0"/>
        <w:rPr>
          <w:rFonts w:ascii="Arial" w:hAnsi="Arial" w:cs="Arial"/>
          <w:sz w:val="22"/>
          <w:szCs w:val="20"/>
        </w:rPr>
      </w:pPr>
    </w:p>
    <w:p w:rsidR="00EC15C9" w:rsidRDefault="00EC15C9">
      <w:pPr>
        <w:widowControl w:val="0"/>
        <w:autoSpaceDE w:val="0"/>
        <w:autoSpaceDN w:val="0"/>
        <w:adjustRightInd w:val="0"/>
        <w:rPr>
          <w:rFonts w:ascii="Arial" w:hAnsi="Arial" w:cs="Arial"/>
          <w:sz w:val="22"/>
          <w:szCs w:val="20"/>
        </w:rPr>
      </w:pPr>
    </w:p>
    <w:p w:rsidR="00EC15C9" w:rsidRDefault="00EC15C9">
      <w:pPr>
        <w:widowControl w:val="0"/>
        <w:autoSpaceDE w:val="0"/>
        <w:autoSpaceDN w:val="0"/>
        <w:adjustRightInd w:val="0"/>
        <w:rPr>
          <w:rFonts w:ascii="Arial" w:hAnsi="Arial" w:cs="Arial"/>
          <w:sz w:val="22"/>
          <w:szCs w:val="20"/>
        </w:rPr>
      </w:pPr>
    </w:p>
    <w:p w:rsidR="00EC15C9" w:rsidRDefault="00EC15C9">
      <w:pPr>
        <w:widowControl w:val="0"/>
        <w:autoSpaceDE w:val="0"/>
        <w:autoSpaceDN w:val="0"/>
        <w:adjustRightInd w:val="0"/>
        <w:rPr>
          <w:rFonts w:ascii="Arial" w:hAnsi="Arial" w:cs="Arial"/>
          <w:sz w:val="22"/>
          <w:szCs w:val="20"/>
        </w:rPr>
      </w:pPr>
    </w:p>
    <w:p w:rsidR="00EC15C9" w:rsidRDefault="00EC15C9">
      <w:pPr>
        <w:widowControl w:val="0"/>
        <w:autoSpaceDE w:val="0"/>
        <w:autoSpaceDN w:val="0"/>
        <w:adjustRightInd w:val="0"/>
        <w:rPr>
          <w:rFonts w:ascii="Arial" w:hAnsi="Arial" w:cs="Arial"/>
          <w:sz w:val="22"/>
          <w:szCs w:val="20"/>
        </w:rPr>
      </w:pPr>
    </w:p>
    <w:p w:rsidR="00EC15C9" w:rsidRDefault="00EC15C9">
      <w:pPr>
        <w:widowControl w:val="0"/>
        <w:autoSpaceDE w:val="0"/>
        <w:autoSpaceDN w:val="0"/>
        <w:adjustRightInd w:val="0"/>
        <w:rPr>
          <w:rFonts w:ascii="Arial" w:hAnsi="Arial" w:cs="Arial"/>
          <w:b/>
          <w:bCs/>
          <w:sz w:val="22"/>
          <w:szCs w:val="20"/>
        </w:rPr>
      </w:pPr>
      <w:r>
        <w:rPr>
          <w:rFonts w:ascii="Arial" w:hAnsi="Arial" w:cs="Arial"/>
          <w:b/>
          <w:bCs/>
          <w:sz w:val="22"/>
        </w:rPr>
        <w:br w:type="page"/>
      </w:r>
      <w:r>
        <w:rPr>
          <w:rFonts w:ascii="Arial" w:hAnsi="Arial" w:cs="Arial"/>
          <w:b/>
          <w:bCs/>
          <w:sz w:val="22"/>
        </w:rPr>
        <w:lastRenderedPageBreak/>
        <w:t>Úkolem studentů je zpracovat studii architektonicko – stavební části uvedené stavby</w:t>
      </w:r>
      <w:r>
        <w:rPr>
          <w:rFonts w:ascii="Arial" w:hAnsi="Arial" w:cs="Arial"/>
          <w:b/>
          <w:bCs/>
        </w:rPr>
        <w:t xml:space="preserve"> v </w:t>
      </w:r>
      <w:r>
        <w:rPr>
          <w:rFonts w:ascii="Arial" w:hAnsi="Arial" w:cs="Arial"/>
          <w:b/>
          <w:bCs/>
          <w:sz w:val="22"/>
        </w:rPr>
        <w:t>rozsahu:</w:t>
      </w:r>
    </w:p>
    <w:p w:rsidR="00EC15C9" w:rsidRDefault="00EC15C9">
      <w:pPr>
        <w:widowControl w:val="0"/>
        <w:autoSpaceDE w:val="0"/>
        <w:autoSpaceDN w:val="0"/>
        <w:adjustRightInd w:val="0"/>
        <w:rPr>
          <w:rFonts w:ascii="Arial" w:hAnsi="Arial" w:cs="Arial"/>
          <w:b/>
          <w:bCs/>
          <w:sz w:val="22"/>
          <w:szCs w:val="20"/>
        </w:rPr>
      </w:pPr>
    </w:p>
    <w:p w:rsidR="00EC15C9" w:rsidRDefault="00EC15C9">
      <w:pPr>
        <w:widowControl w:val="0"/>
        <w:autoSpaceDE w:val="0"/>
        <w:autoSpaceDN w:val="0"/>
        <w:adjustRightInd w:val="0"/>
        <w:rPr>
          <w:rFonts w:ascii="Arial" w:hAnsi="Arial" w:cs="Arial"/>
          <w:b/>
          <w:bCs/>
          <w:sz w:val="22"/>
          <w:szCs w:val="20"/>
        </w:rPr>
      </w:pPr>
    </w:p>
    <w:p w:rsidR="00EC15C9" w:rsidRDefault="00EC15C9">
      <w:pPr>
        <w:widowControl w:val="0"/>
        <w:autoSpaceDE w:val="0"/>
        <w:autoSpaceDN w:val="0"/>
        <w:adjustRightInd w:val="0"/>
        <w:rPr>
          <w:rFonts w:ascii="Arial" w:hAnsi="Arial" w:cs="Arial"/>
          <w:b/>
          <w:bCs/>
          <w:sz w:val="22"/>
          <w:szCs w:val="20"/>
        </w:rPr>
      </w:pPr>
      <w:r>
        <w:rPr>
          <w:rFonts w:ascii="Arial" w:hAnsi="Arial" w:cs="Arial"/>
          <w:b/>
          <w:bCs/>
          <w:sz w:val="22"/>
          <w:szCs w:val="20"/>
        </w:rPr>
        <w:t>1.   PODKLADY:</w:t>
      </w:r>
    </w:p>
    <w:p w:rsidR="00EC15C9" w:rsidRDefault="00EC15C9">
      <w:pPr>
        <w:widowControl w:val="0"/>
        <w:tabs>
          <w:tab w:val="left" w:pos="360"/>
        </w:tabs>
        <w:autoSpaceDE w:val="0"/>
        <w:autoSpaceDN w:val="0"/>
        <w:adjustRightInd w:val="0"/>
        <w:rPr>
          <w:rFonts w:ascii="Arial" w:hAnsi="Arial" w:cs="Arial"/>
          <w:b/>
          <w:bCs/>
          <w:sz w:val="22"/>
          <w:szCs w:val="20"/>
        </w:rPr>
      </w:pPr>
    </w:p>
    <w:p w:rsidR="00EC15C9" w:rsidRDefault="00EC15C9">
      <w:pPr>
        <w:widowControl w:val="0"/>
        <w:tabs>
          <w:tab w:val="left" w:pos="360"/>
        </w:tabs>
        <w:autoSpaceDE w:val="0"/>
        <w:autoSpaceDN w:val="0"/>
        <w:adjustRightInd w:val="0"/>
        <w:rPr>
          <w:rFonts w:ascii="Arial" w:hAnsi="Arial" w:cs="Arial"/>
          <w:b/>
          <w:bCs/>
          <w:sz w:val="22"/>
          <w:szCs w:val="20"/>
        </w:rPr>
      </w:pPr>
      <w:r>
        <w:rPr>
          <w:rFonts w:ascii="Arial" w:hAnsi="Arial" w:cs="Arial"/>
          <w:b/>
          <w:bCs/>
          <w:sz w:val="22"/>
          <w:szCs w:val="20"/>
        </w:rPr>
        <w:tab/>
        <w:t>1.</w:t>
      </w:r>
      <w:r>
        <w:rPr>
          <w:rFonts w:ascii="Arial" w:hAnsi="Arial" w:cs="Arial"/>
          <w:b/>
          <w:bCs/>
          <w:sz w:val="22"/>
          <w:szCs w:val="20"/>
        </w:rPr>
        <w:tab/>
        <w:t>Situace zájmového území:</w:t>
      </w:r>
    </w:p>
    <w:p w:rsidR="00EC15C9" w:rsidRDefault="00EC15C9">
      <w:pPr>
        <w:widowControl w:val="0"/>
        <w:tabs>
          <w:tab w:val="left" w:pos="360"/>
        </w:tabs>
        <w:autoSpaceDE w:val="0"/>
        <w:autoSpaceDN w:val="0"/>
        <w:adjustRightInd w:val="0"/>
        <w:rPr>
          <w:rFonts w:ascii="Arial" w:hAnsi="Arial" w:cs="Arial"/>
          <w:bCs/>
          <w:sz w:val="22"/>
          <w:szCs w:val="20"/>
        </w:rPr>
      </w:pPr>
      <w:r>
        <w:rPr>
          <w:rFonts w:ascii="Arial" w:hAnsi="Arial" w:cs="Arial"/>
          <w:bCs/>
          <w:sz w:val="22"/>
          <w:szCs w:val="20"/>
        </w:rPr>
        <w:tab/>
        <w:t xml:space="preserve">      -  situace obsahující:</w:t>
      </w:r>
    </w:p>
    <w:p w:rsidR="00EC15C9" w:rsidRDefault="00EC15C9">
      <w:pPr>
        <w:widowControl w:val="0"/>
        <w:tabs>
          <w:tab w:val="left" w:pos="360"/>
        </w:tabs>
        <w:autoSpaceDE w:val="0"/>
        <w:autoSpaceDN w:val="0"/>
        <w:adjustRightInd w:val="0"/>
        <w:rPr>
          <w:rFonts w:ascii="Arial" w:hAnsi="Arial" w:cs="Arial"/>
          <w:bCs/>
          <w:sz w:val="22"/>
          <w:szCs w:val="20"/>
        </w:rPr>
      </w:pPr>
      <w:r>
        <w:rPr>
          <w:rFonts w:ascii="Arial" w:hAnsi="Arial" w:cs="Arial"/>
          <w:bCs/>
          <w:sz w:val="22"/>
          <w:szCs w:val="20"/>
        </w:rPr>
        <w:tab/>
      </w:r>
      <w:r>
        <w:rPr>
          <w:rFonts w:ascii="Arial" w:hAnsi="Arial" w:cs="Arial"/>
          <w:bCs/>
          <w:sz w:val="22"/>
          <w:szCs w:val="20"/>
        </w:rPr>
        <w:tab/>
        <w:t>-  polohopis a výškopis</w:t>
      </w:r>
    </w:p>
    <w:p w:rsidR="00EC15C9" w:rsidRDefault="00EC15C9">
      <w:pPr>
        <w:widowControl w:val="0"/>
        <w:tabs>
          <w:tab w:val="left" w:pos="360"/>
        </w:tabs>
        <w:autoSpaceDE w:val="0"/>
        <w:autoSpaceDN w:val="0"/>
        <w:adjustRightInd w:val="0"/>
        <w:rPr>
          <w:rFonts w:ascii="Arial" w:hAnsi="Arial" w:cs="Arial"/>
          <w:bCs/>
          <w:sz w:val="22"/>
          <w:szCs w:val="20"/>
        </w:rPr>
      </w:pPr>
      <w:r>
        <w:rPr>
          <w:rFonts w:ascii="Arial" w:hAnsi="Arial" w:cs="Arial"/>
          <w:bCs/>
          <w:sz w:val="22"/>
          <w:szCs w:val="20"/>
        </w:rPr>
        <w:tab/>
      </w:r>
      <w:r>
        <w:rPr>
          <w:rFonts w:ascii="Arial" w:hAnsi="Arial" w:cs="Arial"/>
          <w:bCs/>
          <w:sz w:val="22"/>
          <w:szCs w:val="20"/>
        </w:rPr>
        <w:tab/>
        <w:t>-  pozemkovou mapu se zakreslením jednotlivých parcel</w:t>
      </w:r>
    </w:p>
    <w:p w:rsidR="00EC15C9" w:rsidRDefault="00EC15C9">
      <w:pPr>
        <w:widowControl w:val="0"/>
        <w:tabs>
          <w:tab w:val="left" w:pos="360"/>
        </w:tabs>
        <w:autoSpaceDE w:val="0"/>
        <w:autoSpaceDN w:val="0"/>
        <w:adjustRightInd w:val="0"/>
        <w:spacing w:before="60"/>
        <w:rPr>
          <w:rFonts w:ascii="Arial" w:hAnsi="Arial" w:cs="Arial"/>
          <w:b/>
          <w:bCs/>
          <w:sz w:val="22"/>
          <w:szCs w:val="20"/>
        </w:rPr>
      </w:pPr>
      <w:r>
        <w:rPr>
          <w:rFonts w:ascii="Arial" w:hAnsi="Arial" w:cs="Arial"/>
          <w:b/>
          <w:bCs/>
          <w:sz w:val="22"/>
          <w:szCs w:val="20"/>
        </w:rPr>
        <w:tab/>
        <w:t>2.</w:t>
      </w:r>
      <w:r>
        <w:rPr>
          <w:rFonts w:ascii="Arial" w:hAnsi="Arial" w:cs="Arial"/>
          <w:b/>
          <w:bCs/>
          <w:sz w:val="22"/>
          <w:szCs w:val="20"/>
        </w:rPr>
        <w:tab/>
        <w:t>Regulační podmínky (viz výše)</w:t>
      </w:r>
    </w:p>
    <w:p w:rsidR="00EC15C9" w:rsidRDefault="00EC15C9">
      <w:pPr>
        <w:widowControl w:val="0"/>
        <w:tabs>
          <w:tab w:val="left" w:pos="360"/>
        </w:tabs>
        <w:autoSpaceDE w:val="0"/>
        <w:autoSpaceDN w:val="0"/>
        <w:adjustRightInd w:val="0"/>
        <w:spacing w:before="60"/>
        <w:rPr>
          <w:rFonts w:ascii="Arial" w:hAnsi="Arial" w:cs="Arial"/>
          <w:b/>
          <w:bCs/>
          <w:sz w:val="22"/>
          <w:szCs w:val="20"/>
        </w:rPr>
      </w:pPr>
      <w:r>
        <w:rPr>
          <w:rFonts w:ascii="Arial" w:hAnsi="Arial" w:cs="Arial"/>
          <w:sz w:val="22"/>
          <w:szCs w:val="20"/>
        </w:rPr>
        <w:br/>
      </w:r>
      <w:r>
        <w:rPr>
          <w:rFonts w:ascii="Arial" w:hAnsi="Arial" w:cs="Arial"/>
          <w:b/>
          <w:bCs/>
          <w:sz w:val="22"/>
          <w:szCs w:val="20"/>
        </w:rPr>
        <w:t>3.   ROZSAH DOKUMENTACE:</w:t>
      </w:r>
    </w:p>
    <w:p w:rsidR="00EC15C9" w:rsidRDefault="00EC15C9">
      <w:pPr>
        <w:jc w:val="both"/>
      </w:pPr>
    </w:p>
    <w:p w:rsidR="00EC15C9" w:rsidRDefault="00EC15C9">
      <w:pPr>
        <w:widowControl w:val="0"/>
        <w:tabs>
          <w:tab w:val="left" w:pos="360"/>
        </w:tabs>
        <w:autoSpaceDE w:val="0"/>
        <w:autoSpaceDN w:val="0"/>
        <w:adjustRightInd w:val="0"/>
        <w:rPr>
          <w:rFonts w:ascii="Arial" w:hAnsi="Arial" w:cs="Arial"/>
          <w:b/>
          <w:bCs/>
          <w:sz w:val="22"/>
          <w:szCs w:val="20"/>
        </w:rPr>
      </w:pPr>
      <w:r>
        <w:rPr>
          <w:rFonts w:ascii="Arial" w:hAnsi="Arial" w:cs="Arial"/>
          <w:b/>
          <w:bCs/>
          <w:sz w:val="22"/>
          <w:szCs w:val="20"/>
        </w:rPr>
        <w:tab/>
        <w:t>A.</w:t>
      </w:r>
      <w:r>
        <w:rPr>
          <w:rFonts w:ascii="Arial" w:hAnsi="Arial" w:cs="Arial"/>
          <w:b/>
          <w:bCs/>
          <w:sz w:val="22"/>
          <w:szCs w:val="20"/>
        </w:rPr>
        <w:tab/>
      </w:r>
      <w:r>
        <w:rPr>
          <w:rFonts w:ascii="Arial" w:hAnsi="Arial" w:cs="Arial"/>
          <w:b/>
          <w:bCs/>
          <w:sz w:val="22"/>
          <w:szCs w:val="20"/>
        </w:rPr>
        <w:tab/>
        <w:t>PRŮVODNÍ ZPRÁVA – stručný popis území a stavby</w:t>
      </w:r>
    </w:p>
    <w:p w:rsidR="00EC15C9" w:rsidRDefault="00EC15C9">
      <w:pPr>
        <w:widowControl w:val="0"/>
        <w:tabs>
          <w:tab w:val="left" w:pos="360"/>
        </w:tabs>
        <w:autoSpaceDE w:val="0"/>
        <w:autoSpaceDN w:val="0"/>
        <w:adjustRightInd w:val="0"/>
        <w:spacing w:before="60"/>
        <w:rPr>
          <w:rFonts w:ascii="Arial" w:hAnsi="Arial" w:cs="Arial"/>
          <w:b/>
          <w:bCs/>
          <w:sz w:val="22"/>
          <w:szCs w:val="20"/>
        </w:rPr>
      </w:pPr>
      <w:r>
        <w:rPr>
          <w:rFonts w:ascii="Arial" w:hAnsi="Arial" w:cs="Arial"/>
          <w:b/>
          <w:bCs/>
          <w:sz w:val="22"/>
          <w:szCs w:val="20"/>
        </w:rPr>
        <w:tab/>
        <w:t>B.</w:t>
      </w:r>
      <w:r>
        <w:rPr>
          <w:rFonts w:ascii="Arial" w:hAnsi="Arial" w:cs="Arial"/>
          <w:b/>
          <w:bCs/>
          <w:sz w:val="22"/>
          <w:szCs w:val="20"/>
        </w:rPr>
        <w:tab/>
      </w:r>
      <w:r>
        <w:rPr>
          <w:rFonts w:ascii="Arial" w:hAnsi="Arial" w:cs="Arial"/>
          <w:b/>
          <w:bCs/>
          <w:sz w:val="22"/>
          <w:szCs w:val="20"/>
        </w:rPr>
        <w:tab/>
        <w:t>SITUAČNÍ ŘEŠENÍ</w:t>
      </w:r>
    </w:p>
    <w:p w:rsidR="00EC15C9" w:rsidRDefault="00EC15C9">
      <w:pPr>
        <w:ind w:left="1440"/>
        <w:jc w:val="both"/>
        <w:rPr>
          <w:rFonts w:ascii="Arial" w:hAnsi="Arial" w:cs="Arial"/>
          <w:sz w:val="22"/>
          <w:szCs w:val="22"/>
        </w:rPr>
      </w:pPr>
      <w:r>
        <w:rPr>
          <w:rFonts w:ascii="Arial" w:hAnsi="Arial" w:cs="Arial"/>
          <w:sz w:val="22"/>
          <w:szCs w:val="20"/>
        </w:rPr>
        <w:t>vytvoření jednoduché urbanistické struktury v návaznosti na již navržený dopravní uzel křižovatky v nové lokalitě (transformovaná nebo zcela nová uliční síť a parcelace, objemové řešení umístění novostaveb, stanovení uliční čáry, napojení pozemků na veřejné prostranství a jednoduché řešení jeho prostoru, umístění uličního oplocení, návrh parkování apod.). Vše v čitelném obhajitelném měřítku dle stanoveného formátu výtisku. C</w:t>
      </w:r>
      <w:r>
        <w:rPr>
          <w:rFonts w:ascii="Arial" w:hAnsi="Arial" w:cs="Arial"/>
          <w:sz w:val="22"/>
          <w:szCs w:val="22"/>
        </w:rPr>
        <w:t>elková situace stavby v měřítku 1:500</w:t>
      </w:r>
    </w:p>
    <w:p w:rsidR="00EC15C9" w:rsidRDefault="00EC15C9">
      <w:pPr>
        <w:widowControl w:val="0"/>
        <w:tabs>
          <w:tab w:val="left" w:pos="360"/>
        </w:tabs>
        <w:autoSpaceDE w:val="0"/>
        <w:autoSpaceDN w:val="0"/>
        <w:adjustRightInd w:val="0"/>
        <w:spacing w:before="60"/>
        <w:rPr>
          <w:rFonts w:ascii="Arial" w:hAnsi="Arial" w:cs="Arial"/>
          <w:b/>
          <w:bCs/>
          <w:sz w:val="22"/>
          <w:szCs w:val="20"/>
        </w:rPr>
      </w:pPr>
      <w:r>
        <w:rPr>
          <w:rFonts w:ascii="Arial" w:hAnsi="Arial" w:cs="Arial"/>
          <w:b/>
          <w:bCs/>
          <w:sz w:val="22"/>
          <w:szCs w:val="20"/>
        </w:rPr>
        <w:tab/>
        <w:t>C.</w:t>
      </w:r>
      <w:r>
        <w:rPr>
          <w:rFonts w:ascii="Arial" w:hAnsi="Arial" w:cs="Arial"/>
          <w:b/>
          <w:bCs/>
          <w:sz w:val="22"/>
          <w:szCs w:val="20"/>
        </w:rPr>
        <w:tab/>
      </w:r>
      <w:r>
        <w:rPr>
          <w:rFonts w:ascii="Arial" w:hAnsi="Arial" w:cs="Arial"/>
          <w:b/>
          <w:bCs/>
          <w:sz w:val="22"/>
          <w:szCs w:val="20"/>
        </w:rPr>
        <w:tab/>
        <w:t>DOKUMENTACE STAVEBNÍCH OBJEKTŮ</w:t>
      </w:r>
    </w:p>
    <w:p w:rsidR="00EC15C9" w:rsidRDefault="00EC15C9">
      <w:pPr>
        <w:pStyle w:val="Zkladntextodsazen3"/>
        <w:jc w:val="both"/>
      </w:pPr>
      <w:r>
        <w:t>Jeden viladům z navržené urbanistické struktury navrhnout a  zpracovat ve formě studie, ze které bude zřejmé architektonicko-stavební řešení a konstrukční řešení . Vše v čitelném obhajitelném měřítku dle stanoveného formátu výtisku v návaznosti na velikost navrženého objektu. Výkresová část bude obsahovat:</w:t>
      </w:r>
    </w:p>
    <w:p w:rsidR="00EC15C9" w:rsidRDefault="00EC15C9">
      <w:pPr>
        <w:widowControl w:val="0"/>
        <w:tabs>
          <w:tab w:val="left" w:pos="360"/>
        </w:tabs>
        <w:autoSpaceDE w:val="0"/>
        <w:autoSpaceDN w:val="0"/>
        <w:adjustRightInd w:val="0"/>
        <w:spacing w:before="60"/>
        <w:ind w:left="1440"/>
        <w:rPr>
          <w:rFonts w:ascii="Arial" w:hAnsi="Arial" w:cs="Arial"/>
          <w:sz w:val="22"/>
          <w:szCs w:val="22"/>
        </w:rPr>
      </w:pPr>
      <w:r>
        <w:rPr>
          <w:rFonts w:ascii="Arial" w:hAnsi="Arial" w:cs="Arial"/>
          <w:sz w:val="22"/>
          <w:szCs w:val="20"/>
        </w:rPr>
        <w:t xml:space="preserve">          </w:t>
      </w:r>
      <w:r>
        <w:rPr>
          <w:rFonts w:ascii="Arial" w:hAnsi="Arial" w:cs="Arial"/>
          <w:sz w:val="22"/>
          <w:szCs w:val="22"/>
        </w:rPr>
        <w:tab/>
        <w:t xml:space="preserve">- půdorysy jednotlivých podlaží </w:t>
      </w:r>
    </w:p>
    <w:p w:rsidR="00EC15C9" w:rsidRDefault="00EC15C9">
      <w:pPr>
        <w:pStyle w:val="Zkladntextodsazen"/>
      </w:pPr>
    </w:p>
    <w:p w:rsidR="00EC15C9" w:rsidRDefault="00EC15C9">
      <w:pPr>
        <w:ind w:left="720"/>
        <w:jc w:val="both"/>
        <w:rPr>
          <w:rFonts w:ascii="Arial" w:hAnsi="Arial" w:cs="Arial"/>
          <w:sz w:val="22"/>
          <w:szCs w:val="22"/>
        </w:rPr>
      </w:pPr>
      <w:r>
        <w:rPr>
          <w:rFonts w:ascii="Arial" w:hAnsi="Arial" w:cs="Arial"/>
          <w:sz w:val="22"/>
          <w:szCs w:val="22"/>
        </w:rPr>
        <w:t xml:space="preserve">                       - řez v měřítku </w:t>
      </w:r>
    </w:p>
    <w:p w:rsidR="00EC15C9" w:rsidRDefault="00EC15C9">
      <w:pPr>
        <w:pStyle w:val="Zkladntextodsazen2"/>
        <w:rPr>
          <w:rFonts w:ascii="Arial" w:hAnsi="Arial" w:cs="Arial"/>
          <w:b/>
          <w:bCs/>
          <w:color w:val="FF0000"/>
          <w:sz w:val="22"/>
          <w:szCs w:val="22"/>
        </w:rPr>
      </w:pPr>
      <w:r>
        <w:t xml:space="preserve">     </w:t>
      </w:r>
      <w:r>
        <w:rPr>
          <w:b/>
          <w:bCs/>
          <w:color w:val="FF0000"/>
        </w:rPr>
        <w:t>- zdokumentování (vhodnou formou) konstrukčního řešení (nosný  systém stěn, sloupů, stropů  a průvlaků, způsob  zakládání)</w:t>
      </w:r>
    </w:p>
    <w:p w:rsidR="00EC15C9" w:rsidRDefault="00EC15C9">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 pohledy v měřítku </w:t>
      </w:r>
    </w:p>
    <w:p w:rsidR="00EC15C9" w:rsidRDefault="00EC15C9">
      <w:pPr>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 vizualizace</w:t>
      </w:r>
    </w:p>
    <w:p w:rsidR="00EC15C9" w:rsidRDefault="00EC15C9">
      <w:pPr>
        <w:jc w:val="both"/>
      </w:pPr>
    </w:p>
    <w:p w:rsidR="00EC15C9" w:rsidRDefault="00EC15C9">
      <w:pPr>
        <w:widowControl w:val="0"/>
        <w:numPr>
          <w:ilvl w:val="0"/>
          <w:numId w:val="12"/>
        </w:numPr>
        <w:tabs>
          <w:tab w:val="left" w:pos="0"/>
        </w:tabs>
        <w:autoSpaceDE w:val="0"/>
        <w:autoSpaceDN w:val="0"/>
        <w:adjustRightInd w:val="0"/>
        <w:rPr>
          <w:rFonts w:ascii="Arial" w:hAnsi="Arial" w:cs="Arial"/>
          <w:b/>
          <w:bCs/>
          <w:sz w:val="22"/>
          <w:szCs w:val="20"/>
        </w:rPr>
      </w:pPr>
      <w:r>
        <w:rPr>
          <w:rFonts w:ascii="Arial" w:hAnsi="Arial" w:cs="Arial"/>
          <w:b/>
          <w:bCs/>
          <w:sz w:val="22"/>
          <w:szCs w:val="20"/>
        </w:rPr>
        <w:t>ADJUSTACE DOKUMENTACE</w:t>
      </w:r>
    </w:p>
    <w:p w:rsidR="00EC15C9" w:rsidRDefault="00EC15C9">
      <w:pPr>
        <w:widowControl w:val="0"/>
        <w:autoSpaceDE w:val="0"/>
        <w:autoSpaceDN w:val="0"/>
        <w:adjustRightInd w:val="0"/>
        <w:ind w:left="360"/>
        <w:rPr>
          <w:rFonts w:ascii="Arial" w:hAnsi="Arial" w:cs="Arial"/>
          <w:sz w:val="22"/>
          <w:szCs w:val="20"/>
        </w:rPr>
      </w:pPr>
      <w:r>
        <w:rPr>
          <w:rFonts w:ascii="Arial" w:hAnsi="Arial" w:cs="Arial"/>
          <w:sz w:val="22"/>
          <w:szCs w:val="20"/>
        </w:rPr>
        <w:t xml:space="preserve">Dokumentace bude prezentována na panelu velikosti 800 x 1200 mm, forma prezentace je na volbě studenta. Dále bude doložena v jednom vyhotovení dokumentace v rozsahu bodu 3 – nutno dodržet. Dokumentace bude svázána  ve formátu A3 – na šířku. </w:t>
      </w:r>
    </w:p>
    <w:p w:rsidR="00EC15C9" w:rsidRDefault="00EC15C9">
      <w:pPr>
        <w:widowControl w:val="0"/>
        <w:autoSpaceDE w:val="0"/>
        <w:autoSpaceDN w:val="0"/>
        <w:adjustRightInd w:val="0"/>
        <w:ind w:left="360"/>
        <w:rPr>
          <w:rFonts w:ascii="Arial" w:hAnsi="Arial" w:cs="Arial"/>
          <w:sz w:val="22"/>
          <w:szCs w:val="20"/>
        </w:rPr>
      </w:pPr>
    </w:p>
    <w:p w:rsidR="00EC15C9" w:rsidRDefault="00EC15C9">
      <w:pPr>
        <w:widowControl w:val="0"/>
        <w:numPr>
          <w:ilvl w:val="0"/>
          <w:numId w:val="13"/>
        </w:numPr>
        <w:tabs>
          <w:tab w:val="left" w:pos="0"/>
        </w:tabs>
        <w:autoSpaceDE w:val="0"/>
        <w:autoSpaceDN w:val="0"/>
        <w:adjustRightInd w:val="0"/>
        <w:rPr>
          <w:rFonts w:ascii="Arial" w:hAnsi="Arial" w:cs="Arial"/>
          <w:sz w:val="22"/>
          <w:szCs w:val="20"/>
        </w:rPr>
      </w:pPr>
      <w:r>
        <w:rPr>
          <w:rFonts w:ascii="Arial" w:hAnsi="Arial" w:cs="Arial"/>
          <w:b/>
          <w:bCs/>
          <w:sz w:val="22"/>
          <w:szCs w:val="20"/>
        </w:rPr>
        <w:t>TERMÍN ODEVZDÁNÍ</w:t>
      </w:r>
    </w:p>
    <w:p w:rsidR="00EC15C9" w:rsidRDefault="00EC15C9">
      <w:pPr>
        <w:widowControl w:val="0"/>
        <w:autoSpaceDE w:val="0"/>
        <w:autoSpaceDN w:val="0"/>
        <w:adjustRightInd w:val="0"/>
        <w:ind w:left="360"/>
        <w:rPr>
          <w:rFonts w:ascii="Arial" w:hAnsi="Arial" w:cs="Arial"/>
          <w:sz w:val="22"/>
          <w:szCs w:val="20"/>
        </w:rPr>
      </w:pPr>
      <w:r>
        <w:rPr>
          <w:rFonts w:ascii="Arial" w:hAnsi="Arial" w:cs="Arial"/>
          <w:sz w:val="22"/>
          <w:szCs w:val="20"/>
        </w:rPr>
        <w:t>Dokumentace bude odevzdána v termínu  15.03.2013 v kanceláři KSPS ve Zlíně.</w:t>
      </w:r>
    </w:p>
    <w:sectPr w:rsidR="00EC15C9">
      <w:headerReference w:type="default" r:id="rId7"/>
      <w:footerReference w:type="default" r:id="rId8"/>
      <w:pgSz w:w="11906" w:h="16838"/>
      <w:pgMar w:top="1079" w:right="1417" w:bottom="89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5C6A" w:rsidRDefault="00F85C6A">
      <w:r>
        <w:separator/>
      </w:r>
    </w:p>
  </w:endnote>
  <w:endnote w:type="continuationSeparator" w:id="0">
    <w:p w:rsidR="00F85C6A" w:rsidRDefault="00F85C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5C9" w:rsidRDefault="00EC15C9">
    <w:pPr>
      <w:pStyle w:val="Zpat"/>
      <w:jc w:val="center"/>
    </w:pPr>
    <w:r>
      <w:rPr>
        <w:rStyle w:val="slostrnky"/>
      </w:rPr>
      <w:fldChar w:fldCharType="begin"/>
    </w:r>
    <w:r>
      <w:rPr>
        <w:rStyle w:val="slostrnky"/>
      </w:rPr>
      <w:instrText xml:space="preserve"> NUMPAGES </w:instrText>
    </w:r>
    <w:r>
      <w:rPr>
        <w:rStyle w:val="slostrnky"/>
      </w:rPr>
      <w:fldChar w:fldCharType="separate"/>
    </w:r>
    <w:r w:rsidR="004A2E4A">
      <w:rPr>
        <w:rStyle w:val="slostrnky"/>
        <w:noProof/>
      </w:rPr>
      <w:t>4</w:t>
    </w:r>
    <w:r>
      <w:rPr>
        <w:rStyle w:val="slostrnky"/>
      </w:rPr>
      <w:fldChar w:fldCharType="end"/>
    </w:r>
    <w:r>
      <w:rPr>
        <w:rStyle w:val="slostrnky"/>
      </w:rPr>
      <w:t>/</w:t>
    </w:r>
    <w:r>
      <w:rPr>
        <w:rStyle w:val="slostrnky"/>
      </w:rPr>
      <w:fldChar w:fldCharType="begin"/>
    </w:r>
    <w:r>
      <w:rPr>
        <w:rStyle w:val="slostrnky"/>
      </w:rPr>
      <w:instrText xml:space="preserve"> PAGE </w:instrText>
    </w:r>
    <w:r>
      <w:rPr>
        <w:rStyle w:val="slostrnky"/>
      </w:rPr>
      <w:fldChar w:fldCharType="separate"/>
    </w:r>
    <w:r w:rsidR="004A2E4A">
      <w:rPr>
        <w:rStyle w:val="slostrnky"/>
        <w:noProof/>
      </w:rPr>
      <w:t>4</w:t>
    </w:r>
    <w:r>
      <w:rPr>
        <w:rStyle w:val="slostrnk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5C6A" w:rsidRDefault="00F85C6A">
      <w:r>
        <w:separator/>
      </w:r>
    </w:p>
  </w:footnote>
  <w:footnote w:type="continuationSeparator" w:id="0">
    <w:p w:rsidR="00F85C6A" w:rsidRDefault="00F85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5C9" w:rsidRDefault="00EC15C9">
    <w:pPr>
      <w:pStyle w:val="Zhlav"/>
      <w:jc w:val="center"/>
    </w:pPr>
    <w:r>
      <w:rPr>
        <w:rFonts w:ascii="Arial" w:hAnsi="Arial" w:cs="Arial"/>
        <w:sz w:val="22"/>
      </w:rPr>
      <w:t>STUDENTSKÁ PRÁCE ROKU 2012 ZLÍNSKÉHO KRAJE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C783D"/>
    <w:multiLevelType w:val="hybridMultilevel"/>
    <w:tmpl w:val="6958E17E"/>
    <w:lvl w:ilvl="0" w:tplc="ACBE7956">
      <w:start w:val="3"/>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nsid w:val="045B3559"/>
    <w:multiLevelType w:val="singleLevel"/>
    <w:tmpl w:val="C4940000"/>
    <w:lvl w:ilvl="0">
      <w:start w:val="2"/>
      <w:numFmt w:val="decimal"/>
      <w:lvlText w:val="%1."/>
      <w:legacy w:legacy="1" w:legacySpace="0" w:legacyIndent="360"/>
      <w:lvlJc w:val="left"/>
      <w:rPr>
        <w:rFonts w:ascii="Times New Roman" w:hAnsi="Times New Roman" w:cs="Times New Roman" w:hint="default"/>
      </w:rPr>
    </w:lvl>
  </w:abstractNum>
  <w:abstractNum w:abstractNumId="2">
    <w:nsid w:val="0E2C6DAD"/>
    <w:multiLevelType w:val="singleLevel"/>
    <w:tmpl w:val="A4A82B22"/>
    <w:lvl w:ilvl="0">
      <w:start w:val="3"/>
      <w:numFmt w:val="decimal"/>
      <w:lvlText w:val="%1"/>
      <w:legacy w:legacy="1" w:legacySpace="0" w:legacyIndent="360"/>
      <w:lvlJc w:val="left"/>
      <w:rPr>
        <w:rFonts w:ascii="Times New Roman" w:hAnsi="Times New Roman" w:cs="Times New Roman" w:hint="default"/>
      </w:rPr>
    </w:lvl>
  </w:abstractNum>
  <w:abstractNum w:abstractNumId="3">
    <w:nsid w:val="0E7E21B8"/>
    <w:multiLevelType w:val="singleLevel"/>
    <w:tmpl w:val="1FB8222E"/>
    <w:lvl w:ilvl="0">
      <w:start w:val="5"/>
      <w:numFmt w:val="decimal"/>
      <w:lvlText w:val="%1."/>
      <w:legacy w:legacy="1" w:legacySpace="0" w:legacyIndent="360"/>
      <w:lvlJc w:val="left"/>
      <w:rPr>
        <w:rFonts w:ascii="Times New Roman" w:hAnsi="Times New Roman" w:cs="Times New Roman" w:hint="default"/>
        <w:b/>
      </w:rPr>
    </w:lvl>
  </w:abstractNum>
  <w:abstractNum w:abstractNumId="4">
    <w:nsid w:val="0FFE4761"/>
    <w:multiLevelType w:val="hybridMultilevel"/>
    <w:tmpl w:val="6DB8A548"/>
    <w:lvl w:ilvl="0" w:tplc="04050015">
      <w:start w:val="2"/>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B1D55CC"/>
    <w:multiLevelType w:val="singleLevel"/>
    <w:tmpl w:val="8DA20BC8"/>
    <w:lvl w:ilvl="0">
      <w:start w:val="4"/>
      <w:numFmt w:val="decimal"/>
      <w:lvlText w:val="%1"/>
      <w:legacy w:legacy="1" w:legacySpace="0" w:legacyIndent="360"/>
      <w:lvlJc w:val="left"/>
      <w:rPr>
        <w:rFonts w:ascii="Times New Roman" w:hAnsi="Times New Roman" w:cs="Times New Roman" w:hint="default"/>
      </w:rPr>
    </w:lvl>
  </w:abstractNum>
  <w:abstractNum w:abstractNumId="6">
    <w:nsid w:val="1C8A7EEF"/>
    <w:multiLevelType w:val="singleLevel"/>
    <w:tmpl w:val="D6ECD044"/>
    <w:lvl w:ilvl="0">
      <w:start w:val="3"/>
      <w:numFmt w:val="decimal"/>
      <w:lvlText w:val="%1."/>
      <w:legacy w:legacy="1" w:legacySpace="0" w:legacyIndent="360"/>
      <w:lvlJc w:val="left"/>
      <w:rPr>
        <w:rFonts w:ascii="Times New Roman" w:hAnsi="Times New Roman" w:cs="Times New Roman" w:hint="default"/>
        <w:b/>
      </w:rPr>
    </w:lvl>
  </w:abstractNum>
  <w:abstractNum w:abstractNumId="7">
    <w:nsid w:val="2E257DBC"/>
    <w:multiLevelType w:val="hybridMultilevel"/>
    <w:tmpl w:val="DA903E20"/>
    <w:lvl w:ilvl="0" w:tplc="0E1A5114">
      <w:start w:val="2"/>
      <w:numFmt w:val="upp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nsid w:val="3C1F421D"/>
    <w:multiLevelType w:val="singleLevel"/>
    <w:tmpl w:val="48B6F218"/>
    <w:lvl w:ilvl="0">
      <w:start w:val="4"/>
      <w:numFmt w:val="decimal"/>
      <w:lvlText w:val="%1."/>
      <w:legacy w:legacy="1" w:legacySpace="0" w:legacyIndent="360"/>
      <w:lvlJc w:val="left"/>
      <w:rPr>
        <w:rFonts w:ascii="Times New Roman" w:hAnsi="Times New Roman" w:cs="Times New Roman" w:hint="default"/>
      </w:rPr>
    </w:lvl>
  </w:abstractNum>
  <w:abstractNum w:abstractNumId="9">
    <w:nsid w:val="4CB90CB7"/>
    <w:multiLevelType w:val="multilevel"/>
    <w:tmpl w:val="C0400980"/>
    <w:lvl w:ilvl="0">
      <w:start w:val="2"/>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579651B1"/>
    <w:multiLevelType w:val="hybridMultilevel"/>
    <w:tmpl w:val="D1809E7A"/>
    <w:lvl w:ilvl="0" w:tplc="04050015">
      <w:start w:val="1"/>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nsid w:val="5F2304BC"/>
    <w:multiLevelType w:val="multilevel"/>
    <w:tmpl w:val="6CF4274E"/>
    <w:lvl w:ilvl="0">
      <w:start w:val="1"/>
      <w:numFmt w:val="decimal"/>
      <w:lvlText w:val="%1."/>
      <w:legacy w:legacy="1" w:legacySpace="0" w:legacyIndent="360"/>
      <w:lvlJc w:val="left"/>
      <w:rPr>
        <w:rFonts w:ascii="Times New Roman" w:hAnsi="Times New Roman" w:cs="Times New Roman" w:hint="default"/>
      </w:rPr>
    </w:lvl>
    <w:lvl w:ilvl="1" w:tentative="1">
      <w:start w:val="1"/>
      <w:numFmt w:val="lowerLetter"/>
      <w:pStyle w:val="Normln"/>
      <w:lvlText w:val="%2."/>
      <w:lvlJc w:val="left"/>
      <w:pPr>
        <w:tabs>
          <w:tab w:val="num" w:pos="1440"/>
        </w:tabs>
        <w:ind w:left="1440" w:hanging="360"/>
      </w:pPr>
    </w:lvl>
    <w:lvl w:ilvl="2" w:tentative="1">
      <w:start w:val="1"/>
      <w:numFmt w:val="lowerRoman"/>
      <w:pStyle w:val="Normln"/>
      <w:lvlText w:val="%3."/>
      <w:lvlJc w:val="right"/>
      <w:pPr>
        <w:tabs>
          <w:tab w:val="num" w:pos="2160"/>
        </w:tabs>
        <w:ind w:left="2160" w:hanging="180"/>
      </w:pPr>
    </w:lvl>
    <w:lvl w:ilvl="3" w:tentative="1">
      <w:start w:val="1"/>
      <w:numFmt w:val="decimal"/>
      <w:pStyle w:val="Normln"/>
      <w:lvlText w:val="%4."/>
      <w:lvlJc w:val="left"/>
      <w:pPr>
        <w:tabs>
          <w:tab w:val="num" w:pos="2880"/>
        </w:tabs>
        <w:ind w:left="2880" w:hanging="360"/>
      </w:pPr>
    </w:lvl>
    <w:lvl w:ilvl="4" w:tentative="1">
      <w:start w:val="1"/>
      <w:numFmt w:val="lowerLetter"/>
      <w:pStyle w:val="Normln"/>
      <w:lvlText w:val="%5."/>
      <w:lvlJc w:val="left"/>
      <w:pPr>
        <w:tabs>
          <w:tab w:val="num" w:pos="3600"/>
        </w:tabs>
        <w:ind w:left="3600" w:hanging="360"/>
      </w:pPr>
    </w:lvl>
    <w:lvl w:ilvl="5" w:tentative="1">
      <w:start w:val="1"/>
      <w:numFmt w:val="lowerRoman"/>
      <w:pStyle w:val="Normln"/>
      <w:lvlText w:val="%6."/>
      <w:lvlJc w:val="right"/>
      <w:pPr>
        <w:tabs>
          <w:tab w:val="num" w:pos="4320"/>
        </w:tabs>
        <w:ind w:left="4320" w:hanging="180"/>
      </w:pPr>
    </w:lvl>
    <w:lvl w:ilvl="6" w:tentative="1">
      <w:start w:val="1"/>
      <w:numFmt w:val="decimal"/>
      <w:pStyle w:val="Normln"/>
      <w:lvlText w:val="%7."/>
      <w:lvlJc w:val="left"/>
      <w:pPr>
        <w:tabs>
          <w:tab w:val="num" w:pos="5040"/>
        </w:tabs>
        <w:ind w:left="5040" w:hanging="360"/>
      </w:pPr>
    </w:lvl>
    <w:lvl w:ilvl="7" w:tentative="1">
      <w:start w:val="1"/>
      <w:numFmt w:val="lowerLetter"/>
      <w:pStyle w:val="Normln"/>
      <w:lvlText w:val="%8."/>
      <w:lvlJc w:val="left"/>
      <w:pPr>
        <w:tabs>
          <w:tab w:val="num" w:pos="5760"/>
        </w:tabs>
        <w:ind w:left="5760" w:hanging="360"/>
      </w:pPr>
    </w:lvl>
    <w:lvl w:ilvl="8" w:tentative="1">
      <w:start w:val="1"/>
      <w:numFmt w:val="lowerRoman"/>
      <w:pStyle w:val="Normln"/>
      <w:lvlText w:val="%9."/>
      <w:lvlJc w:val="right"/>
      <w:pPr>
        <w:tabs>
          <w:tab w:val="num" w:pos="6480"/>
        </w:tabs>
        <w:ind w:left="6480" w:hanging="180"/>
      </w:pPr>
    </w:lvl>
  </w:abstractNum>
  <w:abstractNum w:abstractNumId="12">
    <w:nsid w:val="63FE47E5"/>
    <w:multiLevelType w:val="hybridMultilevel"/>
    <w:tmpl w:val="9AFE862A"/>
    <w:lvl w:ilvl="0" w:tplc="356E2EC4">
      <w:start w:val="1"/>
      <w:numFmt w:val="upp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nsid w:val="6CD02A42"/>
    <w:multiLevelType w:val="hybridMultilevel"/>
    <w:tmpl w:val="259E6468"/>
    <w:lvl w:ilvl="0" w:tplc="0405000F">
      <w:start w:val="1"/>
      <w:numFmt w:val="decimal"/>
      <w:lvlText w:val="%1."/>
      <w:lvlJc w:val="left"/>
      <w:pPr>
        <w:tabs>
          <w:tab w:val="num" w:pos="720"/>
        </w:tabs>
        <w:ind w:left="720" w:hanging="360"/>
      </w:pPr>
      <w:rPr>
        <w:rFonts w:hint="default"/>
      </w:rPr>
    </w:lvl>
    <w:lvl w:ilvl="1" w:tplc="44780EFE">
      <w:start w:val="1"/>
      <w:numFmt w:val="bullet"/>
      <w:lvlText w:val="-"/>
      <w:lvlJc w:val="left"/>
      <w:pPr>
        <w:tabs>
          <w:tab w:val="num" w:pos="1440"/>
        </w:tabs>
        <w:ind w:left="1440" w:hanging="360"/>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7707176E"/>
    <w:multiLevelType w:val="hybridMultilevel"/>
    <w:tmpl w:val="66CE4FC6"/>
    <w:lvl w:ilvl="0" w:tplc="D2EAED40">
      <w:numFmt w:val="bullet"/>
      <w:lvlText w:val="-"/>
      <w:lvlJc w:val="left"/>
      <w:pPr>
        <w:tabs>
          <w:tab w:val="num" w:pos="720"/>
        </w:tabs>
        <w:ind w:left="720" w:hanging="360"/>
      </w:pPr>
      <w:rPr>
        <w:rFonts w:ascii="Times New Roman" w:eastAsia="Times New Roman" w:hAnsi="Times New Roman" w:cs="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num>
  <w:num w:numId="3">
    <w:abstractNumId w:val="14"/>
  </w:num>
  <w:num w:numId="4">
    <w:abstractNumId w:val="12"/>
  </w:num>
  <w:num w:numId="5">
    <w:abstractNumId w:val="7"/>
  </w:num>
  <w:num w:numId="6">
    <w:abstractNumId w:val="11"/>
  </w:num>
  <w:num w:numId="7">
    <w:abstractNumId w:val="1"/>
  </w:num>
  <w:num w:numId="8">
    <w:abstractNumId w:val="6"/>
  </w:num>
  <w:num w:numId="9">
    <w:abstractNumId w:val="2"/>
  </w:num>
  <w:num w:numId="10">
    <w:abstractNumId w:val="5"/>
  </w:num>
  <w:num w:numId="11">
    <w:abstractNumId w:val="5"/>
    <w:lvlOverride w:ilvl="0">
      <w:lvl w:ilvl="0">
        <w:start w:val="5"/>
        <w:numFmt w:val="decimal"/>
        <w:lvlText w:val="%1"/>
        <w:legacy w:legacy="1" w:legacySpace="0" w:legacyIndent="360"/>
        <w:lvlJc w:val="left"/>
        <w:rPr>
          <w:rFonts w:ascii="Times New Roman" w:hAnsi="Times New Roman" w:cs="Times New Roman" w:hint="default"/>
        </w:rPr>
      </w:lvl>
    </w:lvlOverride>
  </w:num>
  <w:num w:numId="12">
    <w:abstractNumId w:val="8"/>
  </w:num>
  <w:num w:numId="13">
    <w:abstractNumId w:val="3"/>
  </w:num>
  <w:num w:numId="14">
    <w:abstractNumId w:val="10"/>
  </w:num>
  <w:num w:numId="15">
    <w:abstractNumId w:val="9"/>
  </w:num>
  <w:num w:numId="16">
    <w:abstractNumId w:val="4"/>
  </w:num>
  <w:num w:numId="17">
    <w:abstractNumId w:val="11"/>
    <w:lvlOverride w:ilvl="0">
      <w:startOverride w:val="3"/>
    </w:lvlOverride>
  </w:num>
  <w:num w:numId="18">
    <w:abstractNumId w:val="11"/>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noPunctuationKerning/>
  <w:characterSpacingControl w:val="doNotCompress"/>
  <w:footnotePr>
    <w:footnote w:id="-1"/>
    <w:footnote w:id="0"/>
  </w:footnotePr>
  <w:endnotePr>
    <w:endnote w:id="-1"/>
    <w:endnote w:id="0"/>
  </w:endnotePr>
  <w:compat/>
  <w:rsids>
    <w:rsidRoot w:val="00850889"/>
    <w:rsid w:val="004A2E4A"/>
    <w:rsid w:val="00850889"/>
    <w:rsid w:val="00EC15C9"/>
    <w:rsid w:val="00F85C6A"/>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z w:val="24"/>
      <w:szCs w:val="24"/>
    </w:rPr>
  </w:style>
  <w:style w:type="paragraph" w:styleId="Nadpis1">
    <w:name w:val="heading 1"/>
    <w:basedOn w:val="Normln"/>
    <w:next w:val="Normln"/>
    <w:qFormat/>
    <w:pPr>
      <w:keepNext/>
      <w:outlineLvl w:val="0"/>
    </w:pPr>
    <w:rPr>
      <w:b/>
      <w:bCs/>
    </w:rPr>
  </w:style>
  <w:style w:type="paragraph" w:styleId="Nadpis2">
    <w:name w:val="heading 2"/>
    <w:basedOn w:val="Normln"/>
    <w:next w:val="Normln"/>
    <w:qFormat/>
    <w:pPr>
      <w:keepNext/>
      <w:outlineLvl w:val="1"/>
    </w:pPr>
    <w:rPr>
      <w:b/>
      <w:sz w:val="32"/>
      <w:szCs w:val="20"/>
    </w:rPr>
  </w:style>
  <w:style w:type="paragraph" w:styleId="Nadpis3">
    <w:name w:val="heading 3"/>
    <w:basedOn w:val="Normln"/>
    <w:next w:val="Normln"/>
    <w:qFormat/>
    <w:pPr>
      <w:keepNext/>
      <w:jc w:val="center"/>
      <w:outlineLvl w:val="2"/>
    </w:pPr>
    <w:rPr>
      <w:b/>
      <w:bCs/>
      <w:sz w:val="20"/>
    </w:rPr>
  </w:style>
  <w:style w:type="paragraph" w:styleId="Nadpis4">
    <w:name w:val="heading 4"/>
    <w:basedOn w:val="Normln"/>
    <w:next w:val="Normln"/>
    <w:qFormat/>
    <w:pPr>
      <w:keepNext/>
      <w:jc w:val="center"/>
      <w:outlineLvl w:val="3"/>
    </w:pPr>
    <w:rPr>
      <w:rFonts w:ascii="Arial" w:hAnsi="Arial" w:cs="Arial"/>
      <w:b/>
      <w:bCs/>
      <w:sz w:val="22"/>
    </w:rPr>
  </w:style>
  <w:style w:type="character" w:default="1" w:styleId="Standardnpsmoodstavce">
    <w:name w:val="Default Paragraph Font"/>
    <w:semiHidden/>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semiHidden/>
    <w:pPr>
      <w:widowControl w:val="0"/>
      <w:autoSpaceDE w:val="0"/>
      <w:autoSpaceDN w:val="0"/>
      <w:adjustRightInd w:val="0"/>
      <w:jc w:val="both"/>
    </w:pPr>
    <w:rPr>
      <w:rFonts w:ascii="Arial" w:hAnsi="Arial" w:cs="Arial"/>
      <w:sz w:val="20"/>
      <w:szCs w:val="20"/>
    </w:rPr>
  </w:style>
  <w:style w:type="paragraph" w:styleId="Zkladntext2">
    <w:name w:val="Body Text 2"/>
    <w:basedOn w:val="Normln"/>
    <w:semiHidden/>
    <w:rPr>
      <w:rFonts w:ascii="Arial" w:hAnsi="Arial" w:cs="Arial"/>
      <w:sz w:val="22"/>
      <w:szCs w:val="20"/>
    </w:rPr>
  </w:style>
  <w:style w:type="character" w:styleId="Hypertextovodkaz">
    <w:name w:val="Hyperlink"/>
    <w:semiHidden/>
    <w:rPr>
      <w:color w:val="0000FF"/>
      <w:u w:val="single"/>
    </w:rPr>
  </w:style>
  <w:style w:type="character" w:customStyle="1" w:styleId="h2">
    <w:name w:val="h2"/>
  </w:style>
  <w:style w:type="paragraph" w:styleId="Zkladntext3">
    <w:name w:val="Body Text 3"/>
    <w:basedOn w:val="Normln"/>
    <w:semiHidden/>
    <w:pPr>
      <w:pBdr>
        <w:bottom w:val="single" w:sz="2" w:space="31" w:color="C68C35"/>
      </w:pBdr>
      <w:shd w:val="clear" w:color="auto" w:fill="FFFFFF"/>
      <w:spacing w:after="240"/>
      <w:outlineLvl w:val="2"/>
    </w:pPr>
    <w:rPr>
      <w:rFonts w:ascii="Arial" w:hAnsi="Arial" w:cs="Arial"/>
      <w:sz w:val="22"/>
      <w:szCs w:val="20"/>
    </w:rPr>
  </w:style>
  <w:style w:type="paragraph" w:styleId="Zhlav">
    <w:name w:val="header"/>
    <w:basedOn w:val="Normln"/>
    <w:semiHidden/>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kladntextodsazen">
    <w:name w:val="Body Text Indent"/>
    <w:basedOn w:val="Normln"/>
    <w:semiHidden/>
    <w:pPr>
      <w:widowControl w:val="0"/>
      <w:tabs>
        <w:tab w:val="left" w:pos="2340"/>
      </w:tabs>
      <w:autoSpaceDE w:val="0"/>
      <w:autoSpaceDN w:val="0"/>
      <w:adjustRightInd w:val="0"/>
      <w:spacing w:before="60"/>
      <w:ind w:left="2340" w:hanging="2160"/>
    </w:pPr>
    <w:rPr>
      <w:rFonts w:ascii="Arial" w:hAnsi="Arial" w:cs="Arial"/>
      <w:sz w:val="22"/>
      <w:szCs w:val="22"/>
    </w:rPr>
  </w:style>
  <w:style w:type="paragraph" w:styleId="Zkladntextodsazen2">
    <w:name w:val="Body Text Indent 2"/>
    <w:basedOn w:val="Normln"/>
    <w:semiHidden/>
    <w:pPr>
      <w:ind w:left="2340" w:hanging="540"/>
      <w:jc w:val="both"/>
    </w:pPr>
  </w:style>
  <w:style w:type="paragraph" w:styleId="Zkladntextodsazen3">
    <w:name w:val="Body Text Indent 3"/>
    <w:basedOn w:val="Normln"/>
    <w:semiHidden/>
    <w:pPr>
      <w:widowControl w:val="0"/>
      <w:tabs>
        <w:tab w:val="left" w:pos="360"/>
      </w:tabs>
      <w:autoSpaceDE w:val="0"/>
      <w:autoSpaceDN w:val="0"/>
      <w:adjustRightInd w:val="0"/>
      <w:spacing w:before="60"/>
      <w:ind w:left="1440"/>
    </w:pPr>
    <w:rPr>
      <w:rFonts w:ascii="Arial" w:hAnsi="Arial" w:cs="Arial"/>
      <w:sz w:val="22"/>
      <w:szCs w:val="20"/>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1396</Words>
  <Characters>8241</Characters>
  <Application>Microsoft Office Word</Application>
  <DocSecurity>0</DocSecurity>
  <Lines>68</Lines>
  <Paragraphs>19</Paragraphs>
  <ScaleCrop>false</ScaleCrop>
  <HeadingPairs>
    <vt:vector size="2" baseType="variant">
      <vt:variant>
        <vt:lpstr>Název</vt:lpstr>
      </vt:variant>
      <vt:variant>
        <vt:i4>1</vt:i4>
      </vt:variant>
    </vt:vector>
  </HeadingPairs>
  <TitlesOfParts>
    <vt:vector size="1" baseType="lpstr">
      <vt:lpstr>Stavba roku 2006</vt:lpstr>
    </vt:vector>
  </TitlesOfParts>
  <Company>Smetanova 2518, 76001 zlín</Company>
  <LinksUpToDate>false</LinksUpToDate>
  <CharactersWithSpaces>9618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Stavba roku 2006</dc:title>
  <dc:creator>Libor Dubcak</dc:creator>
  <cp:lastModifiedBy>jan</cp:lastModifiedBy>
  <cp:revision>2</cp:revision>
  <cp:lastPrinted>2009-10-06T08:10:00Z</cp:lastPrinted>
  <dcterms:created xsi:type="dcterms:W3CDTF">2013-03-31T17:02:00Z</dcterms:created>
  <dcterms:modified xsi:type="dcterms:W3CDTF">2013-03-31T17:02:00Z</dcterms:modified>
</cp:coreProperties>
</file>